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pPr>
    </w:p>
    <w:p>
      <w:pPr>
        <w:pStyle w:val="10"/>
        <w:rPr>
          <w:b/>
          <w:bCs/>
        </w:rPr>
      </w:pPr>
      <w:bookmarkStart w:id="0" w:name="_Toc14605"/>
      <w:bookmarkStart w:id="1" w:name="_Toc29790"/>
      <w:bookmarkStart w:id="2" w:name="_Toc2027"/>
      <w:r>
        <w:rPr>
          <w:rFonts w:hint="eastAsia"/>
          <w:b/>
          <w:bCs/>
        </w:rPr>
        <w:t>第二篇  建设项目压覆重要矿床（矿产资源）审批</w:t>
      </w:r>
      <w:bookmarkEnd w:id="0"/>
      <w:bookmarkEnd w:id="1"/>
    </w:p>
    <w:p>
      <w:pPr>
        <w:pStyle w:val="10"/>
        <w:rPr>
          <w:b/>
          <w:bCs/>
        </w:rPr>
      </w:pPr>
      <w:bookmarkStart w:id="3" w:name="_Toc30287"/>
      <w:bookmarkStart w:id="4" w:name="_Toc23222"/>
      <w:r>
        <w:rPr>
          <w:rFonts w:hint="eastAsia"/>
          <w:b/>
          <w:bCs/>
        </w:rPr>
        <w:t>服务指南</w:t>
      </w:r>
      <w:bookmarkEnd w:id="2"/>
      <w:bookmarkEnd w:id="3"/>
      <w:bookmarkEnd w:id="4"/>
    </w:p>
    <w:p>
      <w:pPr>
        <w:ind w:firstLine="420"/>
      </w:pPr>
    </w:p>
    <w:p>
      <w:pPr>
        <w:pStyle w:val="11"/>
        <w:ind w:firstLine="420"/>
      </w:pPr>
      <w:bookmarkStart w:id="5" w:name="_Toc3445"/>
      <w:bookmarkStart w:id="6" w:name="_Toc5331"/>
      <w:bookmarkStart w:id="7" w:name="_Toc26998"/>
      <w:r>
        <w:rPr>
          <w:rFonts w:hint="eastAsia"/>
        </w:rPr>
        <w:t>一、适用范围</w:t>
      </w:r>
      <w:bookmarkEnd w:id="5"/>
      <w:bookmarkEnd w:id="6"/>
      <w:bookmarkEnd w:id="7"/>
    </w:p>
    <w:p>
      <w:pPr>
        <w:ind w:firstLine="420"/>
      </w:pPr>
      <w:bookmarkStart w:id="8" w:name="_Toc5325"/>
      <w:r>
        <w:rPr>
          <w:rFonts w:hint="eastAsia"/>
        </w:rPr>
        <w:t>本指南适用于属自然资源部负责审批的建设项目压覆重要矿床（矿产资源）的申请和办理。具体范围如下：</w:t>
      </w:r>
    </w:p>
    <w:p>
      <w:pPr>
        <w:ind w:firstLine="420"/>
      </w:pPr>
      <w:r>
        <w:rPr>
          <w:rFonts w:hint="eastAsia"/>
        </w:rPr>
        <w:t>（一）压覆石油、天然气、页岩气、天然气水合物、放射性矿产；</w:t>
      </w:r>
      <w:bookmarkStart w:id="299" w:name="_GoBack"/>
      <w:bookmarkEnd w:id="299"/>
    </w:p>
    <w:p>
      <w:pPr>
        <w:ind w:firstLine="420"/>
      </w:pPr>
      <w:r>
        <w:rPr>
          <w:rFonts w:hint="eastAsia"/>
        </w:rPr>
        <w:t>（二）压覆《矿产资源开采登记管理办法》附录所列矿种（石油、天然气、放射性矿产除外）累计查明资源储量数量达大型矿区规模以上的或矿区查明资源储量规模达到大型并且压覆占三分之一以上的；</w:t>
      </w:r>
    </w:p>
    <w:p>
      <w:pPr>
        <w:ind w:firstLine="420"/>
      </w:pPr>
      <w:r>
        <w:rPr>
          <w:rFonts w:hint="eastAsia"/>
        </w:rPr>
        <w:t>（三）符合上款的炼焦用煤、富铁矿、铬铁矿、富铜矿、钨、锡、锑、稀土、钼、铌钽、钾盐、金刚石矿产资源储量规模在中型以上的矿区原则上不得压覆，但国务院批准的或国务院组成部门按照国家产业政策批准的国家重大建设项目除外。</w:t>
      </w:r>
    </w:p>
    <w:p>
      <w:pPr>
        <w:pStyle w:val="11"/>
        <w:ind w:firstLine="420"/>
      </w:pPr>
      <w:bookmarkStart w:id="9" w:name="_Toc28275"/>
      <w:bookmarkStart w:id="10" w:name="_Toc21437"/>
      <w:r>
        <w:rPr>
          <w:rFonts w:hint="eastAsia"/>
        </w:rPr>
        <w:t>二、项目信息</w:t>
      </w:r>
      <w:bookmarkEnd w:id="8"/>
      <w:bookmarkEnd w:id="9"/>
      <w:bookmarkEnd w:id="10"/>
    </w:p>
    <w:p>
      <w:pPr>
        <w:ind w:firstLine="420"/>
      </w:pPr>
      <w:r>
        <w:rPr>
          <w:rStyle w:val="12"/>
          <w:rFonts w:hint="eastAsia"/>
        </w:rPr>
        <w:t>（一）项目名称：</w:t>
      </w:r>
      <w:r>
        <w:rPr>
          <w:rFonts w:hint="eastAsia"/>
        </w:rPr>
        <w:t>建设项目用地预审及建设项目压覆重要矿床（矿产资源）审批</w:t>
      </w:r>
    </w:p>
    <w:p>
      <w:pPr>
        <w:ind w:firstLine="420"/>
      </w:pPr>
      <w:r>
        <w:rPr>
          <w:rStyle w:val="12"/>
          <w:rFonts w:hint="eastAsia"/>
        </w:rPr>
        <w:t>（二）子项名称：</w:t>
      </w:r>
      <w:r>
        <w:rPr>
          <w:rFonts w:hint="eastAsia"/>
        </w:rPr>
        <w:t>建设项目压覆重要矿床（矿产资源）审批</w:t>
      </w:r>
    </w:p>
    <w:p>
      <w:pPr>
        <w:ind w:firstLine="420"/>
      </w:pPr>
      <w:r>
        <w:rPr>
          <w:rStyle w:val="12"/>
          <w:rFonts w:hint="eastAsia"/>
        </w:rPr>
        <w:t>（三）审批类别：</w:t>
      </w:r>
      <w:r>
        <w:rPr>
          <w:rFonts w:hint="eastAsia"/>
        </w:rPr>
        <w:t>行政许可</w:t>
      </w:r>
    </w:p>
    <w:p>
      <w:pPr>
        <w:ind w:firstLine="420"/>
      </w:pPr>
      <w:r>
        <w:rPr>
          <w:rStyle w:val="12"/>
          <w:rFonts w:hint="eastAsia"/>
        </w:rPr>
        <w:t>（四）项目编码：</w:t>
      </w:r>
      <w:r>
        <w:rPr>
          <w:rFonts w:hint="eastAsia"/>
        </w:rPr>
        <w:t>12001</w:t>
      </w:r>
    </w:p>
    <w:p>
      <w:pPr>
        <w:pStyle w:val="11"/>
        <w:ind w:firstLine="420"/>
      </w:pPr>
      <w:bookmarkStart w:id="11" w:name="_Toc28975"/>
      <w:bookmarkStart w:id="12" w:name="_Toc24221"/>
      <w:r>
        <w:rPr>
          <w:rFonts w:hint="eastAsia"/>
        </w:rPr>
        <w:t>三、事项审查类型</w:t>
      </w:r>
      <w:bookmarkEnd w:id="11"/>
      <w:bookmarkEnd w:id="12"/>
    </w:p>
    <w:p>
      <w:pPr>
        <w:ind w:firstLine="420"/>
      </w:pPr>
      <w:r>
        <w:rPr>
          <w:rFonts w:hint="eastAsia"/>
        </w:rPr>
        <w:t>前审后批。</w:t>
      </w:r>
    </w:p>
    <w:p>
      <w:pPr>
        <w:pStyle w:val="11"/>
        <w:ind w:firstLine="420"/>
      </w:pPr>
      <w:bookmarkStart w:id="13" w:name="_Toc356"/>
      <w:bookmarkStart w:id="14" w:name="_Toc25719"/>
      <w:bookmarkStart w:id="15" w:name="_Toc28889"/>
      <w:r>
        <w:rPr>
          <w:rFonts w:hint="eastAsia"/>
        </w:rPr>
        <w:t>四、审批依据</w:t>
      </w:r>
      <w:bookmarkEnd w:id="13"/>
      <w:bookmarkEnd w:id="14"/>
    </w:p>
    <w:p>
      <w:pPr>
        <w:ind w:firstLine="420"/>
      </w:pPr>
      <w:r>
        <w:rPr>
          <w:rFonts w:hint="eastAsia"/>
        </w:rPr>
        <w:t>（一）《中华人民共和国矿产资源法》第三十三条：在建设铁路、工厂、水库、输油管道、输电线路和各种大型建筑物或者建筑群之前，建设单位必须向所在省、自治区、直辖市地质矿产主管部门了解拟建工程所在地区的矿产资源分布和开采情况。非经国务院授权的部门批准，不得压覆重要矿床。</w:t>
      </w:r>
    </w:p>
    <w:p>
      <w:pPr>
        <w:ind w:firstLine="420"/>
      </w:pPr>
      <w:r>
        <w:rPr>
          <w:rFonts w:hint="eastAsia"/>
        </w:rPr>
        <w:t>（二）《中华人民共和国矿产资源法实施细则》第三十五条：建设单位在建设铁路、公路、工厂、水库、输油管道、输电线路和各种大型建筑物前，必须向所在地的省、自治区、直辖市人民政府地质矿产主管部门了解拟建工程所在地区的矿产资源分布情况，并在建设项目设计任务书报请审批时附具地质矿产主管部门的证明。</w:t>
      </w:r>
    </w:p>
    <w:p>
      <w:pPr>
        <w:ind w:firstLine="420"/>
      </w:pPr>
      <w:r>
        <w:rPr>
          <w:rFonts w:hint="eastAsia"/>
        </w:rPr>
        <w:t>（三）《国土资源部关于进一步做好建设项目压覆重要矿产资源审批管理工作的通知》（国土资发〔2010〕137号）。</w:t>
      </w:r>
    </w:p>
    <w:p>
      <w:pPr>
        <w:ind w:firstLine="420"/>
      </w:pPr>
      <w:r>
        <w:rPr>
          <w:rFonts w:hint="eastAsia"/>
        </w:rPr>
        <w:t>（四）《自然资源部办公厅关于矿产资源储量评审备案管理若干事项的通知》（自然资办发〔2020〕26号）。</w:t>
      </w:r>
    </w:p>
    <w:p>
      <w:pPr>
        <w:ind w:firstLine="420"/>
      </w:pPr>
      <w:r>
        <w:rPr>
          <w:rFonts w:hint="eastAsia"/>
        </w:rPr>
        <w:t>（五）《自然资源部办公厅关于做好建设项目压覆重要矿产资源审批服务的通知》（自然资办函〔2020〕710号）。</w:t>
      </w:r>
    </w:p>
    <w:p>
      <w:pPr>
        <w:pStyle w:val="11"/>
        <w:ind w:firstLine="420"/>
      </w:pPr>
      <w:bookmarkStart w:id="16" w:name="_Toc31022"/>
      <w:bookmarkStart w:id="17" w:name="_Toc22837"/>
      <w:r>
        <w:rPr>
          <w:rFonts w:hint="eastAsia"/>
        </w:rPr>
        <w:t>五、受理机构</w:t>
      </w:r>
      <w:bookmarkEnd w:id="15"/>
      <w:bookmarkEnd w:id="16"/>
      <w:bookmarkEnd w:id="17"/>
    </w:p>
    <w:p>
      <w:pPr>
        <w:ind w:firstLine="420"/>
      </w:pPr>
      <w:r>
        <w:rPr>
          <w:rFonts w:hint="eastAsia"/>
        </w:rPr>
        <w:t>自然资源部政务大厅。</w:t>
      </w:r>
    </w:p>
    <w:p>
      <w:pPr>
        <w:pStyle w:val="11"/>
        <w:ind w:firstLine="420"/>
      </w:pPr>
      <w:bookmarkStart w:id="18" w:name="_Toc932"/>
      <w:bookmarkStart w:id="19" w:name="_Toc15079"/>
      <w:bookmarkStart w:id="20" w:name="_Toc4076"/>
      <w:r>
        <w:rPr>
          <w:rFonts w:hint="eastAsia"/>
        </w:rPr>
        <w:t>六、决定机构</w:t>
      </w:r>
      <w:bookmarkEnd w:id="18"/>
      <w:bookmarkEnd w:id="19"/>
      <w:bookmarkEnd w:id="20"/>
    </w:p>
    <w:p>
      <w:pPr>
        <w:ind w:firstLine="420"/>
      </w:pPr>
      <w:r>
        <w:rPr>
          <w:rFonts w:hint="eastAsia"/>
        </w:rPr>
        <w:t>自然资源部。</w:t>
      </w:r>
    </w:p>
    <w:p>
      <w:pPr>
        <w:pStyle w:val="11"/>
        <w:ind w:firstLine="420"/>
      </w:pPr>
      <w:bookmarkStart w:id="21" w:name="_Toc4866"/>
      <w:bookmarkStart w:id="22" w:name="_Toc747"/>
      <w:bookmarkStart w:id="23" w:name="_Toc6198"/>
      <w:r>
        <w:rPr>
          <w:rFonts w:hint="eastAsia"/>
        </w:rPr>
        <w:t>七、审批数量</w:t>
      </w:r>
      <w:bookmarkEnd w:id="21"/>
      <w:bookmarkEnd w:id="22"/>
      <w:bookmarkEnd w:id="23"/>
    </w:p>
    <w:p>
      <w:pPr>
        <w:ind w:firstLine="420"/>
      </w:pPr>
      <w:r>
        <w:rPr>
          <w:rFonts w:hint="eastAsia"/>
        </w:rPr>
        <w:t>无数量限制。</w:t>
      </w:r>
    </w:p>
    <w:p>
      <w:pPr>
        <w:pStyle w:val="11"/>
        <w:ind w:firstLine="420"/>
      </w:pPr>
      <w:bookmarkStart w:id="24" w:name="_Toc7246"/>
      <w:bookmarkStart w:id="25" w:name="_Toc25168"/>
      <w:bookmarkStart w:id="26" w:name="_Toc30523"/>
      <w:r>
        <w:rPr>
          <w:rFonts w:hint="eastAsia"/>
        </w:rPr>
        <w:t>八、申请条件</w:t>
      </w:r>
      <w:bookmarkEnd w:id="24"/>
      <w:bookmarkEnd w:id="25"/>
      <w:bookmarkEnd w:id="26"/>
    </w:p>
    <w:p>
      <w:pPr>
        <w:pStyle w:val="13"/>
        <w:ind w:firstLine="420"/>
      </w:pPr>
      <w:r>
        <w:rPr>
          <w:rFonts w:hint="eastAsia"/>
        </w:rPr>
        <w:t>（一）申请人条件</w:t>
      </w:r>
    </w:p>
    <w:p>
      <w:pPr>
        <w:ind w:firstLine="420"/>
      </w:pPr>
      <w:r>
        <w:rPr>
          <w:rFonts w:hint="eastAsia"/>
        </w:rPr>
        <w:t>申请人为负责相关建设项目的具有独立法人资格的单位。申请经办人须为建设单位的法人代表或委托代理人。</w:t>
      </w:r>
    </w:p>
    <w:p>
      <w:pPr>
        <w:pStyle w:val="13"/>
        <w:ind w:firstLine="420"/>
      </w:pPr>
      <w:r>
        <w:rPr>
          <w:rFonts w:hint="eastAsia"/>
        </w:rPr>
        <w:t>（二）符合如下条件的，准予批准：</w:t>
      </w:r>
    </w:p>
    <w:p>
      <w:pPr>
        <w:ind w:firstLine="420"/>
      </w:pPr>
      <w:r>
        <w:rPr>
          <w:rFonts w:hint="eastAsia"/>
        </w:rPr>
        <w:t>1.建设项目压覆重要矿床申请属于部职权范围；（国土资发〔2010〕137号第二条、第三条）</w:t>
      </w:r>
    </w:p>
    <w:p>
      <w:pPr>
        <w:ind w:firstLine="420"/>
      </w:pPr>
      <w:r>
        <w:rPr>
          <w:rFonts w:hint="eastAsia"/>
        </w:rPr>
        <w:t>2.申请人和经办人符合法定条件；（《中华人民共和国矿产资源法》第三十三条、《中华人民共和国矿产资源法实施细则》第三十五条、《中华人民共和国行政许可法》第二十九条）；</w:t>
      </w:r>
    </w:p>
    <w:p>
      <w:pPr>
        <w:ind w:firstLine="420"/>
      </w:pPr>
      <w:r>
        <w:rPr>
          <w:rFonts w:hint="eastAsia"/>
        </w:rPr>
        <w:t>3.属于国土资发〔2010〕137号规定的须办理压覆审批的情形；（国土资发〔2010〕137号第二条、第三条）</w:t>
      </w:r>
    </w:p>
    <w:p>
      <w:pPr>
        <w:ind w:firstLine="420"/>
      </w:pPr>
      <w:r>
        <w:rPr>
          <w:rFonts w:hint="eastAsia"/>
        </w:rPr>
        <w:t>4.申请材料符合国土资发〔2010〕137号；</w:t>
      </w:r>
    </w:p>
    <w:p>
      <w:pPr>
        <w:ind w:firstLine="420"/>
      </w:pPr>
      <w:r>
        <w:rPr>
          <w:rFonts w:hint="eastAsia"/>
        </w:rPr>
        <w:t>5.与压覆审批相关的其它条件。</w:t>
      </w:r>
    </w:p>
    <w:p>
      <w:pPr>
        <w:pStyle w:val="11"/>
        <w:ind w:firstLine="420"/>
      </w:pPr>
      <w:bookmarkStart w:id="27" w:name="_Toc16770"/>
      <w:bookmarkStart w:id="28" w:name="_Toc14486"/>
      <w:bookmarkStart w:id="29" w:name="_Toc28673"/>
      <w:r>
        <w:rPr>
          <w:rFonts w:hint="eastAsia"/>
        </w:rPr>
        <w:t>九、申请材料</w:t>
      </w:r>
      <w:bookmarkEnd w:id="27"/>
      <w:bookmarkEnd w:id="28"/>
      <w:bookmarkEnd w:id="29"/>
    </w:p>
    <w:p>
      <w:pPr>
        <w:pStyle w:val="13"/>
        <w:ind w:firstLine="420"/>
      </w:pPr>
      <w:r>
        <w:rPr>
          <w:rFonts w:hint="eastAsia"/>
        </w:rPr>
        <w:t>（一）申请材料清单</w:t>
      </w:r>
    </w:p>
    <w:tbl>
      <w:tblPr>
        <w:tblStyle w:val="7"/>
        <w:tblW w:w="6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612"/>
        <w:gridCol w:w="791"/>
        <w:gridCol w:w="392"/>
        <w:gridCol w:w="1322"/>
        <w:gridCol w:w="910"/>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430" w:type="dxa"/>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b/>
                <w:bCs/>
              </w:rPr>
              <w:t>序号</w:t>
            </w:r>
          </w:p>
        </w:tc>
        <w:tc>
          <w:tcPr>
            <w:tcW w:w="1612" w:type="dxa"/>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b/>
                <w:bCs/>
              </w:rPr>
              <w:t>提交材料名称</w:t>
            </w:r>
          </w:p>
        </w:tc>
        <w:tc>
          <w:tcPr>
            <w:tcW w:w="791" w:type="dxa"/>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b/>
                <w:bCs/>
              </w:rPr>
              <w:t>原件</w:t>
            </w:r>
            <w:r>
              <w:rPr>
                <w:b/>
                <w:bCs/>
              </w:rPr>
              <w:t>/</w:t>
            </w:r>
            <w:r>
              <w:rPr>
                <w:rFonts w:hint="eastAsia"/>
                <w:b/>
                <w:bCs/>
              </w:rPr>
              <w:t>复印件</w:t>
            </w:r>
          </w:p>
        </w:tc>
        <w:tc>
          <w:tcPr>
            <w:tcW w:w="392" w:type="dxa"/>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b/>
                <w:bCs/>
              </w:rPr>
              <w:t>份数</w:t>
            </w:r>
          </w:p>
        </w:tc>
        <w:tc>
          <w:tcPr>
            <w:tcW w:w="1322" w:type="dxa"/>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b/>
                <w:bCs/>
              </w:rPr>
              <w:t>纸质</w:t>
            </w:r>
            <w:r>
              <w:rPr>
                <w:b/>
                <w:bCs/>
              </w:rPr>
              <w:t>/</w:t>
            </w:r>
            <w:r>
              <w:rPr>
                <w:rFonts w:hint="eastAsia"/>
                <w:b/>
                <w:bCs/>
              </w:rPr>
              <w:t>电子</w:t>
            </w:r>
          </w:p>
        </w:tc>
        <w:tc>
          <w:tcPr>
            <w:tcW w:w="910" w:type="dxa"/>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b/>
                <w:bCs/>
              </w:rPr>
              <w:t>要求</w:t>
            </w:r>
          </w:p>
        </w:tc>
        <w:tc>
          <w:tcPr>
            <w:tcW w:w="1171" w:type="dxa"/>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blHeader/>
          <w:jc w:val="center"/>
        </w:trPr>
        <w:tc>
          <w:tcPr>
            <w:tcW w:w="6628" w:type="dxa"/>
            <w:gridSpan w:val="7"/>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ascii="楷体_GB2312" w:hAnsi="楷体_GB2312" w:eastAsia="楷体_GB2312"/>
              </w:rPr>
              <w:t>必需报送的材料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430"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612" w:type="dxa"/>
            <w:tcBorders>
              <w:top w:val="single" w:color="auto" w:sz="4" w:space="0"/>
              <w:left w:val="single" w:color="auto" w:sz="4" w:space="0"/>
              <w:bottom w:val="single" w:color="auto" w:sz="4" w:space="0"/>
              <w:right w:val="single" w:color="auto" w:sz="4" w:space="0"/>
            </w:tcBorders>
            <w:vAlign w:val="center"/>
          </w:tcPr>
          <w:p>
            <w:pPr>
              <w:pStyle w:val="14"/>
            </w:pPr>
            <w:r>
              <w:rPr>
                <w:rFonts w:hint="eastAsia"/>
              </w:rPr>
              <w:t>建设单位关于压覆重要矿产资源的申请函</w:t>
            </w:r>
          </w:p>
        </w:tc>
        <w:tc>
          <w:tcPr>
            <w:tcW w:w="791"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原件</w:t>
            </w:r>
          </w:p>
        </w:tc>
        <w:tc>
          <w:tcPr>
            <w:tcW w:w="39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32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纸质（原件）</w:t>
            </w:r>
          </w:p>
          <w:p>
            <w:pPr>
              <w:pStyle w:val="14"/>
              <w:jc w:val="center"/>
            </w:pPr>
            <w:r>
              <w:rPr>
                <w:rFonts w:hint="eastAsia"/>
              </w:rPr>
              <w:t>电子（扫描件）</w:t>
            </w:r>
          </w:p>
        </w:tc>
        <w:tc>
          <w:tcPr>
            <w:tcW w:w="910" w:type="dxa"/>
            <w:vMerge w:val="restart"/>
            <w:tcBorders>
              <w:top w:val="single" w:color="auto" w:sz="4" w:space="0"/>
              <w:left w:val="single" w:color="auto" w:sz="4" w:space="0"/>
              <w:right w:val="single" w:color="auto" w:sz="4" w:space="0"/>
            </w:tcBorders>
            <w:vAlign w:val="center"/>
          </w:tcPr>
          <w:p>
            <w:pPr>
              <w:spacing w:line="240" w:lineRule="auto"/>
              <w:ind w:firstLine="0" w:firstLineChars="0"/>
              <w:rPr>
                <w:sz w:val="18"/>
              </w:rPr>
            </w:pPr>
            <w:r>
              <w:rPr>
                <w:rFonts w:hint="eastAsia"/>
                <w:sz w:val="18"/>
              </w:rPr>
              <w:t>1、要件、签章齐全、清晰、有效。</w:t>
            </w:r>
          </w:p>
          <w:p>
            <w:pPr>
              <w:pStyle w:val="14"/>
            </w:pPr>
            <w:r>
              <w:rPr>
                <w:rFonts w:hint="eastAsia"/>
              </w:rPr>
              <w:t>2、符合规定形式。</w:t>
            </w:r>
          </w:p>
        </w:tc>
        <w:tc>
          <w:tcPr>
            <w:tcW w:w="1171" w:type="dxa"/>
            <w:vMerge w:val="restart"/>
            <w:tcBorders>
              <w:top w:val="single" w:color="auto" w:sz="4" w:space="0"/>
              <w:left w:val="single" w:color="auto" w:sz="4" w:space="0"/>
              <w:right w:val="single" w:color="auto" w:sz="4" w:space="0"/>
            </w:tcBorders>
            <w:vAlign w:val="center"/>
          </w:tcPr>
          <w:p>
            <w:pPr>
              <w:pStyle w:val="14"/>
            </w:pPr>
            <w:r>
              <w:rPr>
                <w:rFonts w:hint="eastAsia"/>
              </w:rPr>
              <w:t>1.网上远程报送的，纸质件在政务大厅领取批复文件时提交。</w:t>
            </w:r>
          </w:p>
          <w:p>
            <w:pPr>
              <w:pStyle w:val="14"/>
            </w:pPr>
            <w:r>
              <w:rPr>
                <w:rFonts w:hint="eastAsia"/>
              </w:rPr>
              <w:t>2.政务大厅报送的，纸质件当场提交。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blHeader/>
          <w:jc w:val="center"/>
        </w:trPr>
        <w:tc>
          <w:tcPr>
            <w:tcW w:w="430"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2</w:t>
            </w:r>
          </w:p>
        </w:tc>
        <w:tc>
          <w:tcPr>
            <w:tcW w:w="1612" w:type="dxa"/>
            <w:tcBorders>
              <w:top w:val="single" w:color="auto" w:sz="4" w:space="0"/>
              <w:left w:val="single" w:color="auto" w:sz="4" w:space="0"/>
              <w:bottom w:val="single" w:color="auto" w:sz="4" w:space="0"/>
              <w:right w:val="single" w:color="auto" w:sz="4" w:space="0"/>
            </w:tcBorders>
            <w:vAlign w:val="center"/>
          </w:tcPr>
          <w:p>
            <w:pPr>
              <w:pStyle w:val="14"/>
            </w:pPr>
            <w:r>
              <w:rPr>
                <w:rFonts w:hint="eastAsia"/>
              </w:rPr>
              <w:t>省级自然资源主管部门初审意见</w:t>
            </w:r>
          </w:p>
        </w:tc>
        <w:tc>
          <w:tcPr>
            <w:tcW w:w="791"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原件</w:t>
            </w:r>
          </w:p>
        </w:tc>
        <w:tc>
          <w:tcPr>
            <w:tcW w:w="39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32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纸质（原件）</w:t>
            </w:r>
          </w:p>
          <w:p>
            <w:pPr>
              <w:pStyle w:val="14"/>
              <w:jc w:val="center"/>
            </w:pPr>
            <w:r>
              <w:rPr>
                <w:rFonts w:hint="eastAsia"/>
              </w:rPr>
              <w:t>电子（扫描件）</w:t>
            </w:r>
          </w:p>
        </w:tc>
        <w:tc>
          <w:tcPr>
            <w:tcW w:w="910" w:type="dxa"/>
            <w:vMerge w:val="continue"/>
            <w:tcBorders>
              <w:left w:val="single" w:color="auto" w:sz="4" w:space="0"/>
              <w:right w:val="single" w:color="auto" w:sz="4" w:space="0"/>
            </w:tcBorders>
            <w:vAlign w:val="center"/>
          </w:tcPr>
          <w:p>
            <w:pPr>
              <w:pStyle w:val="14"/>
            </w:pPr>
          </w:p>
        </w:tc>
        <w:tc>
          <w:tcPr>
            <w:tcW w:w="1171" w:type="dxa"/>
            <w:vMerge w:val="continue"/>
            <w:tcBorders>
              <w:left w:val="single" w:color="auto" w:sz="4" w:space="0"/>
              <w:right w:val="single" w:color="auto" w:sz="4" w:space="0"/>
            </w:tcBorders>
            <w:vAlign w:val="center"/>
          </w:tcPr>
          <w:p>
            <w:pPr>
              <w:pStyle w:val="1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blHeader/>
          <w:jc w:val="center"/>
        </w:trPr>
        <w:tc>
          <w:tcPr>
            <w:tcW w:w="430"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3</w:t>
            </w:r>
          </w:p>
        </w:tc>
        <w:tc>
          <w:tcPr>
            <w:tcW w:w="1612" w:type="dxa"/>
            <w:tcBorders>
              <w:top w:val="single" w:color="auto" w:sz="4" w:space="0"/>
              <w:left w:val="single" w:color="auto" w:sz="4" w:space="0"/>
              <w:bottom w:val="single" w:color="auto" w:sz="4" w:space="0"/>
              <w:right w:val="single" w:color="auto" w:sz="4" w:space="0"/>
            </w:tcBorders>
            <w:vAlign w:val="center"/>
          </w:tcPr>
          <w:p>
            <w:pPr>
              <w:pStyle w:val="14"/>
            </w:pPr>
            <w:r>
              <w:rPr>
                <w:rFonts w:hint="eastAsia"/>
              </w:rPr>
              <w:t>建设项目压覆矿产资源不可避免性论证材料</w:t>
            </w:r>
          </w:p>
        </w:tc>
        <w:tc>
          <w:tcPr>
            <w:tcW w:w="791"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原件</w:t>
            </w:r>
          </w:p>
        </w:tc>
        <w:tc>
          <w:tcPr>
            <w:tcW w:w="39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32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纸质（原件）</w:t>
            </w:r>
          </w:p>
          <w:p>
            <w:pPr>
              <w:pStyle w:val="14"/>
              <w:jc w:val="center"/>
            </w:pPr>
            <w:r>
              <w:rPr>
                <w:rFonts w:hint="eastAsia"/>
              </w:rPr>
              <w:t>电子（PDF）</w:t>
            </w:r>
          </w:p>
        </w:tc>
        <w:tc>
          <w:tcPr>
            <w:tcW w:w="910" w:type="dxa"/>
            <w:vMerge w:val="continue"/>
            <w:tcBorders>
              <w:left w:val="single" w:color="auto" w:sz="4" w:space="0"/>
              <w:right w:val="single" w:color="auto" w:sz="4" w:space="0"/>
            </w:tcBorders>
          </w:tcPr>
          <w:p>
            <w:pPr>
              <w:pStyle w:val="14"/>
            </w:pPr>
          </w:p>
        </w:tc>
        <w:tc>
          <w:tcPr>
            <w:tcW w:w="1171" w:type="dxa"/>
            <w:vMerge w:val="continue"/>
            <w:tcBorders>
              <w:left w:val="single" w:color="auto" w:sz="4" w:space="0"/>
              <w:right w:val="single" w:color="auto" w:sz="4" w:space="0"/>
            </w:tcBorders>
            <w:vAlign w:val="center"/>
          </w:tcPr>
          <w:p>
            <w:pPr>
              <w:pStyle w:val="1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blHeader/>
          <w:jc w:val="center"/>
        </w:trPr>
        <w:tc>
          <w:tcPr>
            <w:tcW w:w="430"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4</w:t>
            </w:r>
          </w:p>
        </w:tc>
        <w:tc>
          <w:tcPr>
            <w:tcW w:w="1612" w:type="dxa"/>
            <w:tcBorders>
              <w:top w:val="single" w:color="auto" w:sz="4" w:space="0"/>
              <w:left w:val="single" w:color="auto" w:sz="4" w:space="0"/>
              <w:bottom w:val="single" w:color="auto" w:sz="4" w:space="0"/>
              <w:right w:val="single" w:color="auto" w:sz="4" w:space="0"/>
            </w:tcBorders>
            <w:vAlign w:val="center"/>
          </w:tcPr>
          <w:p>
            <w:pPr>
              <w:pStyle w:val="14"/>
            </w:pPr>
            <w:r>
              <w:rPr>
                <w:rFonts w:hint="eastAsia"/>
              </w:rPr>
              <w:t>压覆重要矿产资源评估报告（全套）及评审备案文件</w:t>
            </w:r>
          </w:p>
        </w:tc>
        <w:tc>
          <w:tcPr>
            <w:tcW w:w="791"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原件</w:t>
            </w:r>
          </w:p>
        </w:tc>
        <w:tc>
          <w:tcPr>
            <w:tcW w:w="39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32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纸质（原件）</w:t>
            </w:r>
          </w:p>
          <w:p>
            <w:pPr>
              <w:pStyle w:val="14"/>
              <w:jc w:val="center"/>
            </w:pPr>
            <w:r>
              <w:rPr>
                <w:rFonts w:hint="eastAsia"/>
              </w:rPr>
              <w:t>电子（PDF）</w:t>
            </w:r>
          </w:p>
        </w:tc>
        <w:tc>
          <w:tcPr>
            <w:tcW w:w="910" w:type="dxa"/>
            <w:vMerge w:val="continue"/>
            <w:tcBorders>
              <w:left w:val="single" w:color="auto" w:sz="4" w:space="0"/>
              <w:bottom w:val="single" w:color="auto" w:sz="4" w:space="0"/>
              <w:right w:val="single" w:color="auto" w:sz="4" w:space="0"/>
            </w:tcBorders>
            <w:vAlign w:val="center"/>
          </w:tcPr>
          <w:p>
            <w:pPr>
              <w:pStyle w:val="14"/>
            </w:pPr>
          </w:p>
        </w:tc>
        <w:tc>
          <w:tcPr>
            <w:tcW w:w="1171" w:type="dxa"/>
            <w:vMerge w:val="continue"/>
            <w:tcBorders>
              <w:left w:val="single" w:color="auto" w:sz="4" w:space="0"/>
              <w:bottom w:val="single" w:color="auto" w:sz="4" w:space="0"/>
              <w:right w:val="single" w:color="auto" w:sz="4" w:space="0"/>
            </w:tcBorders>
          </w:tcPr>
          <w:p>
            <w:pPr>
              <w:pStyle w:val="1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jc w:val="center"/>
        </w:trPr>
        <w:tc>
          <w:tcPr>
            <w:tcW w:w="6628" w:type="dxa"/>
            <w:gridSpan w:val="7"/>
            <w:tcBorders>
              <w:top w:val="single" w:color="auto" w:sz="4" w:space="0"/>
              <w:left w:val="single" w:color="auto" w:sz="4" w:space="0"/>
              <w:bottom w:val="single" w:color="auto" w:sz="4" w:space="0"/>
              <w:right w:val="single" w:color="auto" w:sz="4" w:space="0"/>
            </w:tcBorders>
            <w:vAlign w:val="center"/>
          </w:tcPr>
          <w:p>
            <w:pPr>
              <w:pStyle w:val="14"/>
              <w:jc w:val="center"/>
              <w:rPr>
                <w:b/>
                <w:bCs/>
              </w:rPr>
            </w:pPr>
            <w:r>
              <w:rPr>
                <w:rFonts w:hint="eastAsia" w:ascii="楷体_GB2312" w:hAnsi="楷体_GB2312" w:eastAsia="楷体_GB2312"/>
              </w:rPr>
              <w:t>建设项目压覆已设置矿业权矿产资源的，还应报送以下证明材料：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30"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612" w:type="dxa"/>
            <w:tcBorders>
              <w:top w:val="single" w:color="auto" w:sz="4" w:space="0"/>
              <w:left w:val="single" w:color="auto" w:sz="4" w:space="0"/>
              <w:bottom w:val="single" w:color="auto" w:sz="4" w:space="0"/>
              <w:right w:val="single" w:color="auto" w:sz="4" w:space="0"/>
            </w:tcBorders>
            <w:vAlign w:val="center"/>
          </w:tcPr>
          <w:p>
            <w:pPr>
              <w:pStyle w:val="14"/>
            </w:pPr>
            <w:r>
              <w:rPr>
                <w:rFonts w:hint="eastAsia"/>
              </w:rPr>
              <w:t>建设单位与被压覆矿业权人签订的协议或省级自然资源管理部门对解决压覆相关事宜的承诺</w:t>
            </w:r>
          </w:p>
        </w:tc>
        <w:tc>
          <w:tcPr>
            <w:tcW w:w="791"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原件</w:t>
            </w:r>
          </w:p>
        </w:tc>
        <w:tc>
          <w:tcPr>
            <w:tcW w:w="39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32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纸质（原件）</w:t>
            </w:r>
          </w:p>
          <w:p>
            <w:pPr>
              <w:pStyle w:val="14"/>
              <w:jc w:val="center"/>
            </w:pPr>
            <w:r>
              <w:rPr>
                <w:rFonts w:hint="eastAsia"/>
              </w:rPr>
              <w:t>电子（扫描件）</w:t>
            </w:r>
          </w:p>
        </w:tc>
        <w:tc>
          <w:tcPr>
            <w:tcW w:w="910" w:type="dxa"/>
            <w:vMerge w:val="restart"/>
            <w:tcBorders>
              <w:top w:val="single" w:color="auto" w:sz="4" w:space="0"/>
              <w:left w:val="single" w:color="auto" w:sz="4" w:space="0"/>
              <w:right w:val="single" w:color="auto" w:sz="4" w:space="0"/>
            </w:tcBorders>
            <w:vAlign w:val="center"/>
          </w:tcPr>
          <w:p>
            <w:pPr>
              <w:pStyle w:val="14"/>
              <w:numPr>
                <w:ilvl w:val="0"/>
                <w:numId w:val="1"/>
              </w:numPr>
            </w:pPr>
            <w:r>
              <w:rPr>
                <w:rFonts w:hint="eastAsia"/>
              </w:rPr>
              <w:t>要件、签章齐全、清晰、有效。</w:t>
            </w:r>
          </w:p>
          <w:p>
            <w:pPr>
              <w:pStyle w:val="14"/>
            </w:pPr>
            <w:r>
              <w:rPr>
                <w:rFonts w:hint="eastAsia"/>
              </w:rPr>
              <w:t>2、符合规定形式。</w:t>
            </w:r>
          </w:p>
        </w:tc>
        <w:tc>
          <w:tcPr>
            <w:tcW w:w="1171" w:type="dxa"/>
            <w:vMerge w:val="restart"/>
            <w:tcBorders>
              <w:top w:val="single" w:color="auto" w:sz="4" w:space="0"/>
              <w:left w:val="single" w:color="auto" w:sz="4" w:space="0"/>
              <w:right w:val="single" w:color="auto" w:sz="4" w:space="0"/>
            </w:tcBorders>
            <w:vAlign w:val="center"/>
          </w:tcPr>
          <w:p>
            <w:pPr>
              <w:pStyle w:val="14"/>
            </w:pPr>
            <w:r>
              <w:rPr>
                <w:rFonts w:hint="eastAsia"/>
              </w:rPr>
              <w:t>1.网上远程报送的，纸质件在政务大厅领取批复文件时提交。</w:t>
            </w:r>
          </w:p>
          <w:p>
            <w:pPr>
              <w:pStyle w:val="14"/>
            </w:pPr>
            <w:r>
              <w:rPr>
                <w:rFonts w:hint="eastAsia"/>
              </w:rPr>
              <w:t>2.政务大厅报送的，纸质件当场提交。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blHeader/>
          <w:jc w:val="center"/>
        </w:trPr>
        <w:tc>
          <w:tcPr>
            <w:tcW w:w="430"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2</w:t>
            </w:r>
          </w:p>
        </w:tc>
        <w:tc>
          <w:tcPr>
            <w:tcW w:w="1612" w:type="dxa"/>
            <w:tcBorders>
              <w:top w:val="single" w:color="auto" w:sz="4" w:space="0"/>
              <w:left w:val="single" w:color="auto" w:sz="4" w:space="0"/>
              <w:bottom w:val="single" w:color="auto" w:sz="4" w:space="0"/>
              <w:right w:val="single" w:color="auto" w:sz="4" w:space="0"/>
            </w:tcBorders>
            <w:vAlign w:val="center"/>
          </w:tcPr>
          <w:p>
            <w:pPr>
              <w:pStyle w:val="14"/>
            </w:pPr>
            <w:r>
              <w:rPr>
                <w:rFonts w:hint="eastAsia"/>
              </w:rPr>
              <w:t>被压覆矿业权人有效期内的勘查许可证或采矿许可证复印件</w:t>
            </w:r>
          </w:p>
        </w:tc>
        <w:tc>
          <w:tcPr>
            <w:tcW w:w="791"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复印件</w:t>
            </w:r>
          </w:p>
        </w:tc>
        <w:tc>
          <w:tcPr>
            <w:tcW w:w="39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1</w:t>
            </w:r>
          </w:p>
        </w:tc>
        <w:tc>
          <w:tcPr>
            <w:tcW w:w="1322" w:type="dxa"/>
            <w:tcBorders>
              <w:top w:val="single" w:color="auto" w:sz="4" w:space="0"/>
              <w:left w:val="single" w:color="auto" w:sz="4" w:space="0"/>
              <w:bottom w:val="single" w:color="auto" w:sz="4" w:space="0"/>
              <w:right w:val="single" w:color="auto" w:sz="4" w:space="0"/>
            </w:tcBorders>
            <w:vAlign w:val="center"/>
          </w:tcPr>
          <w:p>
            <w:pPr>
              <w:pStyle w:val="14"/>
              <w:jc w:val="center"/>
            </w:pPr>
            <w:r>
              <w:rPr>
                <w:rFonts w:hint="eastAsia"/>
              </w:rPr>
              <w:t>纸质（原件）</w:t>
            </w:r>
          </w:p>
          <w:p>
            <w:pPr>
              <w:pStyle w:val="14"/>
              <w:jc w:val="center"/>
            </w:pPr>
            <w:r>
              <w:rPr>
                <w:rFonts w:hint="eastAsia"/>
              </w:rPr>
              <w:t>电子（扫描件）</w:t>
            </w:r>
          </w:p>
        </w:tc>
        <w:tc>
          <w:tcPr>
            <w:tcW w:w="910" w:type="dxa"/>
            <w:vMerge w:val="continue"/>
            <w:tcBorders>
              <w:left w:val="single" w:color="auto" w:sz="4" w:space="0"/>
              <w:bottom w:val="single" w:color="auto" w:sz="4" w:space="0"/>
              <w:right w:val="single" w:color="auto" w:sz="4" w:space="0"/>
            </w:tcBorders>
            <w:vAlign w:val="center"/>
          </w:tcPr>
          <w:p>
            <w:pPr>
              <w:pStyle w:val="14"/>
            </w:pPr>
          </w:p>
        </w:tc>
        <w:tc>
          <w:tcPr>
            <w:tcW w:w="1171" w:type="dxa"/>
            <w:vMerge w:val="continue"/>
            <w:tcBorders>
              <w:left w:val="single" w:color="auto" w:sz="4" w:space="0"/>
              <w:bottom w:val="single" w:color="auto" w:sz="4" w:space="0"/>
              <w:right w:val="single" w:color="auto" w:sz="4" w:space="0"/>
            </w:tcBorders>
          </w:tcPr>
          <w:p>
            <w:pPr>
              <w:pStyle w:val="14"/>
            </w:pPr>
          </w:p>
        </w:tc>
      </w:tr>
    </w:tbl>
    <w:p>
      <w:pPr>
        <w:pStyle w:val="13"/>
        <w:ind w:firstLine="420"/>
      </w:pPr>
      <w:r>
        <w:rPr>
          <w:rFonts w:hint="eastAsia"/>
        </w:rPr>
        <w:t>（二）申请材料提交</w:t>
      </w:r>
    </w:p>
    <w:p>
      <w:pPr>
        <w:ind w:firstLine="420"/>
        <w:rPr>
          <w:rFonts w:ascii="仿宋_GB2312" w:hAnsi="仿宋_GB2312" w:cs="仿宋_GB2312"/>
        </w:rPr>
      </w:pPr>
      <w:bookmarkStart w:id="30" w:name="_Toc19945"/>
      <w:r>
        <w:rPr>
          <w:rStyle w:val="12"/>
          <w:rFonts w:hint="eastAsia" w:ascii="仿宋_GB2312" w:hAnsi="仿宋_GB2312" w:eastAsia="仿宋_GB2312" w:cs="仿宋_GB2312"/>
        </w:rPr>
        <w:t>报送地点：</w:t>
      </w:r>
      <w:bookmarkEnd w:id="30"/>
      <w:r>
        <w:rPr>
          <w:rFonts w:hint="eastAsia" w:ascii="仿宋_GB2312" w:hAnsi="仿宋_GB2312" w:cs="仿宋_GB2312"/>
        </w:rPr>
        <w:t>自然资源部政务大厅窗口（北京市西城区阜内大街64号）。</w:t>
      </w:r>
    </w:p>
    <w:p>
      <w:pPr>
        <w:ind w:firstLine="420"/>
      </w:pPr>
      <w:bookmarkStart w:id="31" w:name="_Toc2359"/>
      <w:r>
        <w:rPr>
          <w:rStyle w:val="12"/>
          <w:rFonts w:hint="eastAsia" w:ascii="仿宋_GB2312" w:hAnsi="仿宋_GB2312" w:eastAsia="仿宋_GB2312" w:cs="仿宋_GB2312"/>
        </w:rPr>
        <w:t>申请经办人须为建设单位的法人代表或委托代理人。建设单位法定代表人报送的，应提交单位出具的法定代表人证明（原件1份）和法定代表人身份证（复印件1份）；委托他人报送的，应提交建设单位法定代表的书面委托书（原件1份，加盖单位公章）和被委托人身份证（复印件1份）。</w:t>
      </w:r>
      <w:bookmarkEnd w:id="31"/>
    </w:p>
    <w:p>
      <w:pPr>
        <w:pStyle w:val="11"/>
        <w:ind w:firstLine="420"/>
      </w:pPr>
      <w:bookmarkStart w:id="32" w:name="_Toc30936"/>
      <w:bookmarkStart w:id="33" w:name="_Toc18191"/>
      <w:bookmarkStart w:id="34" w:name="_Toc11423"/>
      <w:r>
        <w:rPr>
          <w:rFonts w:hint="eastAsia"/>
        </w:rPr>
        <w:t>十、申请接收</w:t>
      </w:r>
      <w:bookmarkEnd w:id="32"/>
      <w:bookmarkEnd w:id="33"/>
      <w:bookmarkEnd w:id="34"/>
    </w:p>
    <w:p>
      <w:pPr>
        <w:ind w:firstLine="420"/>
      </w:pPr>
      <w:r>
        <w:rPr>
          <w:rFonts w:hint="eastAsia"/>
        </w:rPr>
        <w:t>自然资源部政务大厅接收网上远程报送或现场提交建设项目压覆重要矿产资源的报盘。</w:t>
      </w:r>
    </w:p>
    <w:p>
      <w:pPr>
        <w:ind w:firstLine="420"/>
      </w:pPr>
      <w:r>
        <w:rPr>
          <w:rFonts w:hint="eastAsia"/>
        </w:rPr>
        <w:t>报送地点：自然资源部政务大厅窗口（北京市西城区阜内大街64号）。</w:t>
      </w:r>
    </w:p>
    <w:p>
      <w:pPr>
        <w:ind w:firstLine="420"/>
      </w:pPr>
      <w:r>
        <w:rPr>
          <w:rFonts w:hint="eastAsia"/>
        </w:rPr>
        <w:t>报送网址：http://zwfw.mnr.gov.cn/</w:t>
      </w:r>
    </w:p>
    <w:p>
      <w:pPr>
        <w:ind w:firstLine="420"/>
      </w:pPr>
      <w:r>
        <w:rPr>
          <w:rFonts w:hint="eastAsia"/>
        </w:rPr>
        <w:t>报盘软件下载地址：http://zwfw.mnr.gov.cn/download/center/</w:t>
      </w:r>
    </w:p>
    <w:p>
      <w:pPr>
        <w:pStyle w:val="11"/>
        <w:ind w:firstLine="420"/>
      </w:pPr>
      <w:bookmarkStart w:id="35" w:name="_Toc23476"/>
      <w:bookmarkStart w:id="36" w:name="_Toc19868"/>
      <w:bookmarkStart w:id="37" w:name="_Toc6767"/>
      <w:r>
        <w:rPr>
          <w:rFonts w:hint="eastAsia"/>
        </w:rPr>
        <w:t>十一、办理基本流程</w:t>
      </w:r>
      <w:bookmarkEnd w:id="35"/>
      <w:bookmarkEnd w:id="36"/>
      <w:bookmarkEnd w:id="37"/>
    </w:p>
    <w:p>
      <w:pPr>
        <w:pStyle w:val="13"/>
        <w:ind w:firstLine="420"/>
      </w:pPr>
      <w:r>
        <w:rPr>
          <w:rFonts w:hint="eastAsia"/>
        </w:rPr>
        <w:t>（一）接收报件和受理</w:t>
      </w:r>
    </w:p>
    <w:p>
      <w:pPr>
        <w:ind w:firstLine="420"/>
      </w:pPr>
      <w:r>
        <w:rPr>
          <w:rFonts w:hint="eastAsia"/>
        </w:rPr>
        <w:t>自然资源部政务大厅接收申请人报送的建设项目压覆重要矿产资源申请材料。应予以接收并当场出具接收单，当日送相关司局。</w:t>
      </w:r>
    </w:p>
    <w:p>
      <w:pPr>
        <w:pStyle w:val="13"/>
        <w:ind w:firstLine="420"/>
        <w:rPr>
          <w:rFonts w:eastAsia="仿宋_GB2312" w:asciiTheme="minorHAnsi" w:hAnsiTheme="minorHAnsi"/>
        </w:rPr>
      </w:pPr>
      <w:r>
        <w:rPr>
          <w:rFonts w:hint="eastAsia" w:eastAsia="仿宋_GB2312" w:asciiTheme="minorHAnsi" w:hAnsiTheme="minorHAnsi"/>
        </w:rPr>
        <w:t>自然资源部相关司局进行申请受理审查，应在5个工作日内告知是否受理，或一次告知申请人需要补正的全部内容。逾期不告知的，自收到申请材料之日起即为受理。补正仍不符合要求的，可再进行一次补充修改，经一次补正、一次补充修改仍不符合受理条件的，不予受理，书面告知申请人。补正、补充修改期间受理审查程序中止，未在规定期限（补正、补充修改各10个工作日）内提交补正或补充修改材料的，受理程序自行终止，报件由政务大厅退回申请人。</w:t>
      </w:r>
    </w:p>
    <w:p>
      <w:pPr>
        <w:pStyle w:val="13"/>
        <w:ind w:firstLine="420"/>
      </w:pPr>
      <w:r>
        <w:rPr>
          <w:rFonts w:hint="eastAsia"/>
        </w:rPr>
        <w:t>（二）部内审批</w:t>
      </w:r>
    </w:p>
    <w:p>
      <w:pPr>
        <w:ind w:firstLine="420"/>
      </w:pPr>
      <w:r>
        <w:rPr>
          <w:rFonts w:hint="eastAsia"/>
        </w:rPr>
        <w:t>自然资源部相关司局对申请材料各要件内容进行合规性审查，在20个工作日内，符合审批条件的，予以批复，出具建设项目压覆重要矿床（矿产资源）批复文件；不符合审批条件的，不予批复，书面告知申请人。</w:t>
      </w:r>
    </w:p>
    <w:p>
      <w:pPr>
        <w:pStyle w:val="13"/>
        <w:ind w:firstLine="420"/>
      </w:pPr>
      <w:r>
        <w:rPr>
          <w:rFonts w:hint="eastAsia"/>
        </w:rPr>
        <w:t>（三）办理批复</w:t>
      </w:r>
    </w:p>
    <w:p>
      <w:pPr>
        <w:ind w:firstLine="420"/>
      </w:pPr>
      <w:r>
        <w:rPr>
          <w:rFonts w:hint="eastAsia"/>
        </w:rPr>
        <w:t>部领导签发文件后，10个工作日内印发批复文件或《不予行政许可决定书》，并通知申请人。</w:t>
      </w:r>
    </w:p>
    <w:p>
      <w:pPr>
        <w:ind w:firstLine="420"/>
      </w:pPr>
      <w:r>
        <w:rPr>
          <w:rFonts w:hint="eastAsia"/>
        </w:rPr>
        <w:t>审批流程图附后（附图）。</w:t>
      </w:r>
    </w:p>
    <w:p>
      <w:pPr>
        <w:pStyle w:val="11"/>
        <w:ind w:firstLine="420"/>
      </w:pPr>
      <w:bookmarkStart w:id="38" w:name="_Toc3677"/>
      <w:bookmarkStart w:id="39" w:name="_Toc27012"/>
      <w:bookmarkStart w:id="40" w:name="_Toc30337"/>
      <w:r>
        <w:rPr>
          <w:rFonts w:hint="eastAsia"/>
        </w:rPr>
        <w:t>十二、办理方式</w:t>
      </w:r>
      <w:bookmarkEnd w:id="38"/>
      <w:bookmarkEnd w:id="39"/>
      <w:bookmarkEnd w:id="40"/>
    </w:p>
    <w:p>
      <w:pPr>
        <w:ind w:firstLine="420"/>
      </w:pPr>
      <w:r>
        <w:rPr>
          <w:rFonts w:hint="eastAsia"/>
        </w:rPr>
        <w:t>一般程序。</w:t>
      </w:r>
    </w:p>
    <w:p>
      <w:pPr>
        <w:pStyle w:val="11"/>
        <w:ind w:firstLine="420"/>
      </w:pPr>
      <w:bookmarkStart w:id="41" w:name="_Toc26662"/>
      <w:bookmarkStart w:id="42" w:name="_Toc4377"/>
      <w:bookmarkStart w:id="43" w:name="_Toc16611"/>
      <w:r>
        <w:rPr>
          <w:rFonts w:hint="eastAsia"/>
        </w:rPr>
        <w:t>十三、审批时限</w:t>
      </w:r>
      <w:bookmarkEnd w:id="41"/>
      <w:bookmarkEnd w:id="42"/>
      <w:bookmarkEnd w:id="43"/>
    </w:p>
    <w:p>
      <w:pPr>
        <w:ind w:firstLine="420"/>
      </w:pPr>
      <w:r>
        <w:rPr>
          <w:rFonts w:hint="eastAsia"/>
        </w:rPr>
        <w:t>在20个工作日内办结。</w:t>
      </w:r>
    </w:p>
    <w:p>
      <w:pPr>
        <w:pStyle w:val="11"/>
        <w:ind w:firstLine="420"/>
      </w:pPr>
      <w:bookmarkStart w:id="44" w:name="_Toc21075"/>
      <w:bookmarkStart w:id="45" w:name="_Toc24777"/>
      <w:bookmarkStart w:id="46" w:name="_Toc27425"/>
      <w:r>
        <w:rPr>
          <w:rFonts w:hint="eastAsia"/>
        </w:rPr>
        <w:t>十四、收费依据及标准</w:t>
      </w:r>
      <w:bookmarkEnd w:id="44"/>
      <w:bookmarkEnd w:id="45"/>
      <w:bookmarkEnd w:id="46"/>
    </w:p>
    <w:p>
      <w:pPr>
        <w:ind w:firstLine="420"/>
      </w:pPr>
      <w:r>
        <w:rPr>
          <w:rFonts w:hint="eastAsia"/>
        </w:rPr>
        <w:t>不收费。</w:t>
      </w:r>
    </w:p>
    <w:p>
      <w:pPr>
        <w:pStyle w:val="11"/>
        <w:ind w:firstLine="420"/>
      </w:pPr>
      <w:bookmarkStart w:id="47" w:name="_Toc12800"/>
      <w:bookmarkStart w:id="48" w:name="_Toc1638"/>
      <w:bookmarkStart w:id="49" w:name="_Toc9343"/>
      <w:r>
        <w:rPr>
          <w:rFonts w:hint="eastAsia"/>
        </w:rPr>
        <w:t>十五、审批结果</w:t>
      </w:r>
      <w:bookmarkEnd w:id="47"/>
      <w:bookmarkEnd w:id="48"/>
      <w:bookmarkEnd w:id="49"/>
    </w:p>
    <w:p>
      <w:pPr>
        <w:ind w:firstLine="420"/>
      </w:pPr>
      <w:r>
        <w:rPr>
          <w:rFonts w:hint="eastAsia"/>
        </w:rPr>
        <w:t>建设项目压覆重要矿床（矿产资源）批复文件或《不予行政许可决定书》。</w:t>
      </w:r>
    </w:p>
    <w:p>
      <w:pPr>
        <w:pStyle w:val="11"/>
        <w:ind w:firstLine="420"/>
      </w:pPr>
      <w:bookmarkStart w:id="50" w:name="_Toc29457"/>
      <w:bookmarkStart w:id="51" w:name="_Toc24948"/>
      <w:bookmarkStart w:id="52" w:name="_Toc2128"/>
      <w:r>
        <w:rPr>
          <w:rFonts w:hint="eastAsia"/>
        </w:rPr>
        <w:t>十六、结果送达</w:t>
      </w:r>
      <w:bookmarkEnd w:id="50"/>
      <w:bookmarkEnd w:id="51"/>
      <w:bookmarkEnd w:id="52"/>
    </w:p>
    <w:p>
      <w:pPr>
        <w:ind w:firstLine="420"/>
      </w:pPr>
      <w:r>
        <w:rPr>
          <w:rFonts w:hint="eastAsia"/>
        </w:rPr>
        <w:t>部领导签发文件后，10个工作日内印发批复文件或《不予行政许可决定书》，由政务大厅通知申请人领取结果，并发送省级自然资源主管部门。</w:t>
      </w:r>
    </w:p>
    <w:p>
      <w:pPr>
        <w:pStyle w:val="11"/>
        <w:ind w:firstLine="420"/>
      </w:pPr>
      <w:bookmarkStart w:id="53" w:name="_Toc25172"/>
      <w:bookmarkStart w:id="54" w:name="_Toc32258"/>
      <w:bookmarkStart w:id="55" w:name="_Toc4750"/>
      <w:r>
        <w:rPr>
          <w:rFonts w:hint="eastAsia"/>
        </w:rPr>
        <w:t>十七、申请人权利和义务</w:t>
      </w:r>
      <w:bookmarkEnd w:id="53"/>
      <w:bookmarkEnd w:id="54"/>
      <w:bookmarkEnd w:id="55"/>
    </w:p>
    <w:p>
      <w:pPr>
        <w:pStyle w:val="13"/>
        <w:ind w:firstLine="420"/>
      </w:pPr>
      <w:r>
        <w:rPr>
          <w:rFonts w:hint="eastAsia"/>
        </w:rPr>
        <w:t>（一）申请人依法享有以下权利</w:t>
      </w:r>
    </w:p>
    <w:p>
      <w:pPr>
        <w:ind w:firstLine="420"/>
      </w:pPr>
      <w:bookmarkStart w:id="56" w:name="_Toc11018"/>
      <w:r>
        <w:rPr>
          <w:rFonts w:hint="eastAsia"/>
        </w:rPr>
        <w:t>1.申请人有权要求我部公示法律、法规、规章规定的我部职权范围内有关行政许可的事项、依据、条件、数量、程序、期限以及需要提交的全部材料的目录和行政许可格式文书等，有权要求我部对公示内容予以说明、解释和提供准确、可靠的信息。</w:t>
      </w:r>
    </w:p>
    <w:p>
      <w:pPr>
        <w:ind w:firstLine="420"/>
      </w:pPr>
      <w:r>
        <w:rPr>
          <w:rFonts w:hint="eastAsia"/>
        </w:rPr>
        <w:t>2.在依法设定的行政许可事项和我部法定职权范围内，申请人有权向我部提出行政许可申请，并要求我部在法律、法规规定的期限内，依法定条件作出受理或者不受理的决定，同时出具加盖专用印章和注明日期的书面凭证。</w:t>
      </w:r>
    </w:p>
    <w:p>
      <w:pPr>
        <w:ind w:firstLine="420"/>
      </w:pPr>
      <w:r>
        <w:rPr>
          <w:rFonts w:hint="eastAsia"/>
        </w:rPr>
        <w:t>3.申请人向我部提出行政许可申请，我部认为申请人提交的申请材料不齐全或者不符合法定形式时，申请人有权要求我部在提交申请材料的五日内一次性告知申请人需要补正的全部内容；我部逾期不告知申请人需要补正的全部内容或者申请人按照我部告知的补正要求补正全部申请材料后我部仍不受理的，申请人有权要求我部依法改正。</w:t>
      </w:r>
    </w:p>
    <w:p>
      <w:pPr>
        <w:ind w:firstLine="420"/>
      </w:pPr>
      <w:r>
        <w:rPr>
          <w:rFonts w:hint="eastAsia"/>
        </w:rPr>
        <w:t>4.我部如不能在法定期限内作出行政许可决定的，申请人有权要求我部说明延长期限的理由并在法定的延长期限内作出决定。</w:t>
      </w:r>
    </w:p>
    <w:p>
      <w:pPr>
        <w:ind w:firstLine="420"/>
      </w:pPr>
      <w:r>
        <w:rPr>
          <w:rFonts w:hint="eastAsia"/>
        </w:rPr>
        <w:t>5.对申请人提出的行政许可申请，我部作出准予行政许可决定的，申请人有权要求我部颁发符合法律、法规、规章规定并加盖印章的行政许可证件；我部作出不予行政许可决定的，申请人有权要求我部书面说明理由，申请人享有依法申请行政复议或者提起行政诉讼的权利。</w:t>
      </w:r>
    </w:p>
    <w:p>
      <w:pPr>
        <w:ind w:firstLine="420"/>
      </w:pPr>
      <w:r>
        <w:rPr>
          <w:rFonts w:hint="eastAsia"/>
        </w:rPr>
        <w:t>6．法律法规规定的其他权利。</w:t>
      </w:r>
    </w:p>
    <w:p>
      <w:pPr>
        <w:pStyle w:val="13"/>
        <w:ind w:firstLine="420"/>
      </w:pPr>
      <w:r>
        <w:rPr>
          <w:rFonts w:hint="eastAsia"/>
        </w:rPr>
        <w:t>（二）申请人依法履行以下义务</w:t>
      </w:r>
    </w:p>
    <w:p>
      <w:pPr>
        <w:ind w:firstLine="420"/>
      </w:pPr>
      <w:r>
        <w:rPr>
          <w:rFonts w:hint="eastAsia"/>
        </w:rPr>
        <w:t>1.申请人向我部提出行政许可申请，应当按照该行政许可事项的法定条件和我部关于申请文本的规范性要求，如实向我部提交全部申请材料和反映真实情况，并对其申请材料实质内容的真实性负责。</w:t>
      </w:r>
    </w:p>
    <w:p>
      <w:pPr>
        <w:ind w:firstLine="420"/>
      </w:pPr>
      <w:r>
        <w:rPr>
          <w:rFonts w:hint="eastAsia"/>
        </w:rPr>
        <w:t>2.申请人取得我部行政许可后，应当依法从事该行政许可事项的活动，履行法律、法规、规章和我部行政许可决定对申请人从事该行政许可事项的活动所规定的义务。</w:t>
      </w:r>
    </w:p>
    <w:p>
      <w:pPr>
        <w:ind w:firstLine="420"/>
      </w:pPr>
      <w:r>
        <w:rPr>
          <w:rFonts w:hint="eastAsia"/>
        </w:rPr>
        <w:t>3.申请人取得我部行政许可后，需要对行政许可的内容进行变更的，应当向我部提出变更申请，经我部同意后方可作出变更。</w:t>
      </w:r>
    </w:p>
    <w:p>
      <w:pPr>
        <w:ind w:firstLine="420"/>
      </w:pPr>
      <w:r>
        <w:rPr>
          <w:rFonts w:hint="eastAsia"/>
        </w:rPr>
        <w:t>4.我部对申请人取得我部行政许可后从事行政许可事项的活动依法进行监督检查时，申请人应当支持和配合，如实提供有关情况和材料。</w:t>
      </w:r>
    </w:p>
    <w:p>
      <w:pPr>
        <w:ind w:firstLine="420"/>
      </w:pPr>
      <w:r>
        <w:rPr>
          <w:rFonts w:hint="eastAsia"/>
        </w:rPr>
        <w:t>5.申请人依法取得的行政许可，除法律、法规规定依照法定条件和程序可以转让的外，不得转让。</w:t>
      </w:r>
    </w:p>
    <w:p>
      <w:pPr>
        <w:ind w:firstLine="420"/>
      </w:pPr>
      <w:r>
        <w:rPr>
          <w:rFonts w:hint="eastAsia"/>
        </w:rPr>
        <w:t>6.法律法规规定的其他义务。</w:t>
      </w:r>
    </w:p>
    <w:bookmarkEnd w:id="56"/>
    <w:p>
      <w:pPr>
        <w:pStyle w:val="11"/>
        <w:ind w:firstLine="420"/>
      </w:pPr>
      <w:bookmarkStart w:id="57" w:name="_Toc6622"/>
      <w:bookmarkStart w:id="58" w:name="_Toc28423"/>
      <w:r>
        <w:rPr>
          <w:rFonts w:hint="eastAsia"/>
        </w:rPr>
        <w:t>十八、</w:t>
      </w:r>
      <w:bookmarkEnd w:id="57"/>
      <w:bookmarkEnd w:id="58"/>
      <w:r>
        <w:rPr>
          <w:rFonts w:hint="eastAsia"/>
        </w:rPr>
        <w:t>公开查询</w:t>
      </w:r>
    </w:p>
    <w:p>
      <w:pPr>
        <w:pStyle w:val="11"/>
        <w:ind w:firstLine="0" w:firstLineChars="0"/>
      </w:pPr>
      <w:r>
        <w:rPr>
          <w:rFonts w:hint="eastAsia"/>
        </w:rPr>
        <w:t xml:space="preserve">  </w:t>
      </w:r>
      <w:r>
        <w:rPr>
          <w:rFonts w:hint="eastAsia" w:eastAsia="仿宋_GB2312" w:asciiTheme="minorHAnsi" w:hAnsiTheme="minorHAnsi"/>
        </w:rPr>
        <w:t xml:space="preserve">  申请人可通过电话和网站查询审批状态和结果。</w:t>
      </w:r>
    </w:p>
    <w:p>
      <w:pPr>
        <w:ind w:firstLine="420"/>
      </w:pPr>
      <w:r>
        <w:rPr>
          <w:rFonts w:hint="eastAsia"/>
        </w:rPr>
        <w:t>查询电话：</w:t>
      </w:r>
      <w:r>
        <w:rPr>
          <w:rFonts w:hint="default"/>
          <w:lang w:val="en-US"/>
        </w:rPr>
        <w:t>4000996938</w:t>
      </w:r>
      <w:r>
        <w:rPr>
          <w:rFonts w:hint="eastAsia"/>
          <w:lang w:val="en-US" w:eastAsia="zh-CN"/>
        </w:rPr>
        <w:t>，</w:t>
      </w:r>
      <w:r>
        <w:rPr>
          <w:rFonts w:hint="eastAsia"/>
        </w:rPr>
        <w:t>010-66558288</w:t>
      </w:r>
    </w:p>
    <w:p>
      <w:pPr>
        <w:ind w:firstLine="420"/>
      </w:pPr>
      <w:r>
        <w:rPr>
          <w:rFonts w:hint="eastAsia"/>
        </w:rPr>
        <w:t>查询网址：http://box.mnr.gov.cn/</w:t>
      </w:r>
    </w:p>
    <w:p>
      <w:pPr>
        <w:pStyle w:val="11"/>
        <w:ind w:firstLine="420"/>
      </w:pPr>
      <w:bookmarkStart w:id="59" w:name="_Toc20603"/>
      <w:bookmarkStart w:id="60" w:name="_Toc467"/>
      <w:r>
        <w:rPr>
          <w:rFonts w:hint="eastAsia"/>
        </w:rPr>
        <w:t>十九、监督和投诉渠道</w:t>
      </w:r>
      <w:bookmarkEnd w:id="59"/>
      <w:bookmarkEnd w:id="60"/>
    </w:p>
    <w:p>
      <w:pPr>
        <w:pStyle w:val="13"/>
        <w:ind w:firstLine="420"/>
        <w:rPr>
          <w:rFonts w:eastAsia="仿宋_GB2312" w:asciiTheme="minorHAnsi" w:hAnsiTheme="minorHAnsi"/>
        </w:rPr>
      </w:pPr>
      <w:r>
        <w:rPr>
          <w:rFonts w:hint="eastAsia" w:eastAsia="仿宋_GB2312" w:asciiTheme="minorHAnsi" w:hAnsiTheme="minorHAnsi"/>
        </w:rPr>
        <w:t>（一）监督、投诉电话：010-66151646</w:t>
      </w:r>
    </w:p>
    <w:p>
      <w:pPr>
        <w:pStyle w:val="13"/>
        <w:ind w:firstLine="420"/>
        <w:rPr>
          <w:rFonts w:eastAsia="仿宋_GB2312" w:asciiTheme="minorHAnsi" w:hAnsiTheme="minorHAnsi"/>
        </w:rPr>
      </w:pPr>
      <w:r>
        <w:rPr>
          <w:rFonts w:hint="eastAsia" w:eastAsia="仿宋_GB2312" w:asciiTheme="minorHAnsi" w:hAnsiTheme="minorHAnsi"/>
        </w:rPr>
        <w:t>（二）监督、投诉网址：https://zwfw.mnr.gov.cn/feedback/form/zxjd</w:t>
      </w:r>
    </w:p>
    <w:p>
      <w:pPr>
        <w:pStyle w:val="11"/>
        <w:ind w:firstLine="420"/>
      </w:pPr>
      <w:bookmarkStart w:id="61" w:name="_Toc16329"/>
      <w:bookmarkStart w:id="62" w:name="_Toc24275"/>
      <w:r>
        <w:rPr>
          <w:rFonts w:hint="eastAsia"/>
        </w:rPr>
        <w:t>二十、办公地址和时间</w:t>
      </w:r>
      <w:bookmarkEnd w:id="61"/>
      <w:bookmarkEnd w:id="62"/>
    </w:p>
    <w:p>
      <w:pPr>
        <w:ind w:firstLine="420"/>
      </w:pPr>
      <w:r>
        <w:rPr>
          <w:rFonts w:hint="eastAsia"/>
        </w:rPr>
        <w:t>（一）办公地址：自然资源部政务大厅（北京市西城区阜成门内大街64号）</w:t>
      </w:r>
    </w:p>
    <w:p>
      <w:pPr>
        <w:ind w:firstLine="420"/>
      </w:pPr>
      <w:r>
        <w:rPr>
          <w:rFonts w:hint="eastAsia"/>
        </w:rPr>
        <w:t>（二）办公时间：法定工作日  上午8:30 ~ 11:30</w:t>
      </w:r>
    </w:p>
    <w:p>
      <w:pPr>
        <w:ind w:firstLine="420"/>
      </w:pPr>
      <w:r>
        <w:rPr>
          <w:rFonts w:hint="eastAsia"/>
        </w:rPr>
        <w:t xml:space="preserve">                            下午14:00 ~ 17:00</w:t>
      </w:r>
    </w:p>
    <w:p>
      <w:pPr>
        <w:pStyle w:val="11"/>
        <w:ind w:firstLine="420"/>
      </w:pPr>
      <w:bookmarkStart w:id="63" w:name="_Toc13837"/>
      <w:bookmarkStart w:id="64" w:name="_Toc31741"/>
      <w:bookmarkStart w:id="65" w:name="_Toc26287"/>
      <w:r>
        <w:rPr>
          <w:rFonts w:hint="eastAsia"/>
        </w:rPr>
        <w:t>二十一、</w:t>
      </w:r>
      <w:bookmarkEnd w:id="63"/>
      <w:r>
        <w:rPr>
          <w:rFonts w:hint="eastAsia"/>
        </w:rPr>
        <w:t>申请材料示范文本</w:t>
      </w:r>
      <w:bookmarkEnd w:id="64"/>
      <w:bookmarkEnd w:id="65"/>
    </w:p>
    <w:p>
      <w:pPr>
        <w:ind w:firstLine="420"/>
      </w:pPr>
      <w:r>
        <w:rPr>
          <w:rFonts w:hint="eastAsia"/>
        </w:rPr>
        <w:t>（一）压覆重要矿床（矿产资源）的申请函（附件1）</w:t>
      </w:r>
    </w:p>
    <w:p>
      <w:pPr>
        <w:ind w:firstLine="420"/>
      </w:pPr>
      <w:r>
        <w:rPr>
          <w:rFonts w:hint="eastAsia"/>
        </w:rPr>
        <w:t>（二）压覆矿床（矿产资源）不可避免性论证材料（附件2）</w:t>
      </w:r>
    </w:p>
    <w:p>
      <w:pPr>
        <w:ind w:firstLine="420"/>
      </w:pPr>
      <w:r>
        <w:rPr>
          <w:rFonts w:hint="eastAsia"/>
        </w:rPr>
        <w:t>（三）压覆重要矿床（矿产资源）评估报告（附件3）</w:t>
      </w:r>
    </w:p>
    <w:p>
      <w:pPr>
        <w:ind w:firstLine="420"/>
      </w:pPr>
      <w:r>
        <w:rPr>
          <w:rFonts w:hint="eastAsia"/>
        </w:rPr>
        <w:t>（四）压覆重要矿床（矿产资源）初审意见（附件4）</w:t>
      </w:r>
    </w:p>
    <w:p>
      <w:pPr>
        <w:ind w:firstLine="420"/>
      </w:pPr>
      <w:bookmarkStart w:id="66" w:name="_Toc31799"/>
    </w:p>
    <w:p>
      <w:pPr>
        <w:pStyle w:val="11"/>
        <w:ind w:firstLine="420"/>
        <w:jc w:val="left"/>
      </w:pPr>
      <w:r>
        <w:rPr>
          <w:rFonts w:hint="eastAsia"/>
        </w:rPr>
        <w:br w:type="page"/>
      </w:r>
      <w:bookmarkStart w:id="67" w:name="_Toc4250"/>
      <w:bookmarkStart w:id="68" w:name="_Toc15986"/>
      <w:r>
        <w:rPr>
          <w:rFonts w:hint="eastAsia"/>
        </w:rPr>
        <w:t>附图：</w:t>
      </w:r>
      <w:bookmarkEnd w:id="67"/>
      <w:bookmarkEnd w:id="68"/>
    </w:p>
    <w:p>
      <w:pPr>
        <w:pStyle w:val="11"/>
        <w:ind w:firstLine="0" w:firstLineChars="0"/>
        <w:jc w:val="center"/>
      </w:pPr>
      <w:bookmarkStart w:id="69" w:name="_Toc8662"/>
      <w:bookmarkStart w:id="70" w:name="_Toc17060"/>
      <w:r>
        <w:rPr>
          <w:rFonts w:hint="eastAsia"/>
        </w:rPr>
        <w:t>建设项目压覆重要矿床（矿产资源）审批服务指南流程图</w:t>
      </w:r>
      <w:bookmarkEnd w:id="69"/>
      <w:bookmarkEnd w:id="70"/>
    </w:p>
    <w:p>
      <w:pPr>
        <w:pStyle w:val="11"/>
        <w:ind w:firstLine="0" w:firstLineChars="0"/>
        <w:jc w:val="center"/>
        <w:outlineLvl w:val="9"/>
      </w:pPr>
    </w:p>
    <w:p>
      <w:pPr>
        <w:ind w:firstLine="0" w:firstLineChars="0"/>
        <w:jc w:val="center"/>
      </w:pPr>
    </w:p>
    <w:p>
      <w:pPr>
        <w:ind w:firstLine="0" w:firstLineChars="0"/>
        <w:jc w:val="center"/>
      </w:pPr>
      <w:r>
        <w:drawing>
          <wp:inline distT="0" distB="0" distL="0" distR="0">
            <wp:extent cx="4194810" cy="580072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11"/>
                    <a:srcRect/>
                    <a:stretch>
                      <a:fillRect/>
                    </a:stretch>
                  </pic:blipFill>
                  <pic:spPr>
                    <a:xfrm>
                      <a:off x="0" y="0"/>
                      <a:ext cx="4195389" cy="5800725"/>
                    </a:xfrm>
                    <a:prstGeom prst="rect">
                      <a:avLst/>
                    </a:prstGeom>
                    <a:noFill/>
                    <a:ln w="9525">
                      <a:noFill/>
                      <a:miter lim="800000"/>
                      <a:headEnd/>
                      <a:tailEnd/>
                    </a:ln>
                  </pic:spPr>
                </pic:pic>
              </a:graphicData>
            </a:graphic>
          </wp:inline>
        </w:drawing>
      </w:r>
    </w:p>
    <w:p>
      <w:pPr>
        <w:ind w:firstLine="420"/>
      </w:pPr>
    </w:p>
    <w:p>
      <w:pPr>
        <w:pStyle w:val="11"/>
        <w:ind w:firstLine="420"/>
      </w:pPr>
      <w:r>
        <w:rPr>
          <w:rFonts w:hint="eastAsia"/>
        </w:rPr>
        <w:br w:type="page"/>
      </w:r>
      <w:bookmarkStart w:id="71" w:name="_Toc8665"/>
      <w:bookmarkStart w:id="72" w:name="_Toc25618"/>
      <w:r>
        <w:rPr>
          <w:rFonts w:hint="eastAsia"/>
        </w:rPr>
        <w:t>附件1：</w:t>
      </w:r>
      <w:bookmarkEnd w:id="66"/>
      <w:bookmarkEnd w:id="71"/>
      <w:bookmarkEnd w:id="72"/>
    </w:p>
    <w:p>
      <w:pPr>
        <w:pStyle w:val="11"/>
        <w:ind w:firstLine="0" w:firstLineChars="0"/>
        <w:jc w:val="center"/>
        <w:rPr>
          <w:sz w:val="24"/>
        </w:rPr>
      </w:pPr>
      <w:bookmarkStart w:id="73" w:name="_Toc17516"/>
      <w:bookmarkStart w:id="74" w:name="_Toc20811"/>
      <w:bookmarkStart w:id="75" w:name="_Toc25567"/>
      <w:r>
        <w:rPr>
          <w:rFonts w:hint="eastAsia"/>
          <w:sz w:val="24"/>
        </w:rPr>
        <w:t>关于××××压覆重要矿床（矿产资源）的申请函</w:t>
      </w:r>
      <w:bookmarkEnd w:id="73"/>
      <w:bookmarkEnd w:id="74"/>
      <w:bookmarkEnd w:id="75"/>
    </w:p>
    <w:p>
      <w:pPr>
        <w:ind w:firstLine="420"/>
      </w:pPr>
    </w:p>
    <w:p>
      <w:pPr>
        <w:ind w:firstLine="0" w:firstLineChars="0"/>
        <w:jc w:val="left"/>
      </w:pPr>
      <w:r>
        <w:rPr>
          <w:rFonts w:hint="eastAsia"/>
        </w:rPr>
        <w:t>自然资源部：</w:t>
      </w:r>
    </w:p>
    <w:p>
      <w:pPr>
        <w:ind w:firstLine="420"/>
      </w:pPr>
      <w:r>
        <w:rPr>
          <w:rFonts w:hint="eastAsia"/>
        </w:rPr>
        <w:t>单独选址建设项目概述：简述立项背景、审批（备案）状况、项目基本情况（位置，拟用地范围、拐点坐标、面积，压覆区范围、拐点坐标、标高、面积）。</w:t>
      </w:r>
    </w:p>
    <w:p>
      <w:pPr>
        <w:ind w:firstLine="420"/>
      </w:pPr>
      <w:r>
        <w:rPr>
          <w:rFonts w:hint="eastAsia"/>
        </w:rPr>
        <w:t xml:space="preserve">压覆重要矿产资源不可避免性简要说明。 </w:t>
      </w:r>
    </w:p>
    <w:p>
      <w:pPr>
        <w:ind w:firstLine="420"/>
      </w:pPr>
      <w:r>
        <w:rPr>
          <w:rFonts w:hint="eastAsia"/>
        </w:rPr>
        <w:t xml:space="preserve">压覆区矿产资源概况：矿种、资源储量类型、埋深、质量，并分矿区、矿业权人列出压覆的资源储量。 </w:t>
      </w:r>
    </w:p>
    <w:p>
      <w:pPr>
        <w:ind w:firstLine="420"/>
      </w:pPr>
      <w:r>
        <w:rPr>
          <w:rFonts w:hint="eastAsia"/>
        </w:rPr>
        <w:t>现按《国土资源部关于进一步规范建设项目压覆重要矿产资源管理的通知》的规定，将材料报上，请批准压覆建设用地压覆区范围内矿产资源。</w:t>
      </w:r>
    </w:p>
    <w:p>
      <w:pPr>
        <w:ind w:firstLine="420"/>
      </w:pPr>
    </w:p>
    <w:p>
      <w:pPr>
        <w:ind w:left="1260" w:leftChars="200" w:hanging="840" w:hangingChars="400"/>
      </w:pPr>
      <w:r>
        <w:rPr>
          <w:rFonts w:hint="eastAsia"/>
        </w:rPr>
        <w:t>附件：1.《关于××××压覆重要矿产资源的评估报告》及其附件、附图、附表</w:t>
      </w:r>
    </w:p>
    <w:p>
      <w:pPr>
        <w:ind w:left="1260" w:leftChars="500" w:hanging="210" w:hangingChars="100"/>
      </w:pPr>
      <w:r>
        <w:rPr>
          <w:rFonts w:hint="eastAsia"/>
        </w:rPr>
        <w:t>2.建设用地压覆重要矿产资源不可避免性详细论证材料</w:t>
      </w:r>
    </w:p>
    <w:p>
      <w:pPr>
        <w:ind w:left="1260" w:leftChars="500" w:hanging="210" w:hangingChars="100"/>
      </w:pPr>
      <w:r>
        <w:rPr>
          <w:rFonts w:hint="eastAsia"/>
        </w:rPr>
        <w:t>3.建设项目压覆矿业权的，应附与矿业权人签订的含矿业权人同意压覆并不动用已批准压覆的矿产资源的协议原件及矿业权许可证复印件（加盖矿业权人公章）</w:t>
      </w:r>
    </w:p>
    <w:p>
      <w:pPr>
        <w:ind w:firstLine="422"/>
        <w:rPr>
          <w:b/>
          <w:bCs/>
        </w:rPr>
      </w:pPr>
    </w:p>
    <w:p>
      <w:pPr>
        <w:ind w:firstLine="422"/>
        <w:rPr>
          <w:b/>
          <w:bCs/>
        </w:rPr>
      </w:pPr>
      <w:r>
        <w:rPr>
          <w:rFonts w:hint="eastAsia"/>
          <w:b/>
          <w:bCs/>
        </w:rPr>
        <w:t>（联系人及联系电话：        ）</w:t>
      </w:r>
    </w:p>
    <w:p>
      <w:pPr>
        <w:ind w:firstLine="422"/>
        <w:rPr>
          <w:b/>
          <w:bCs/>
        </w:rPr>
      </w:pPr>
    </w:p>
    <w:p>
      <w:pPr>
        <w:wordWrap w:val="0"/>
        <w:ind w:firstLine="420"/>
        <w:jc w:val="right"/>
        <w:rPr>
          <w:rFonts w:ascii="宋体" w:hAnsi="宋体"/>
          <w:b/>
          <w:sz w:val="32"/>
          <w:szCs w:val="32"/>
        </w:rPr>
      </w:pPr>
      <w:r>
        <w:rPr>
          <w:rFonts w:hint="eastAsia"/>
        </w:rPr>
        <w:t xml:space="preserve">××××年××月××日        </w:t>
      </w:r>
    </w:p>
    <w:p>
      <w:pPr>
        <w:pStyle w:val="11"/>
        <w:ind w:firstLine="0" w:firstLineChars="0"/>
      </w:pPr>
      <w:r>
        <w:rPr>
          <w:rFonts w:hint="eastAsia" w:ascii="宋体" w:hAnsi="宋体"/>
          <w:b/>
          <w:szCs w:val="44"/>
        </w:rPr>
        <w:br w:type="page"/>
      </w:r>
      <w:bookmarkStart w:id="76" w:name="_Toc10593"/>
      <w:bookmarkStart w:id="77" w:name="_Toc15"/>
      <w:bookmarkStart w:id="78" w:name="_Toc15751"/>
      <w:r>
        <w:rPr>
          <w:rFonts w:hint="eastAsia"/>
        </w:rPr>
        <w:t>附件2：</w:t>
      </w:r>
      <w:bookmarkEnd w:id="76"/>
      <w:bookmarkEnd w:id="77"/>
      <w:bookmarkEnd w:id="78"/>
    </w:p>
    <w:p>
      <w:pPr>
        <w:pStyle w:val="11"/>
        <w:ind w:firstLine="0" w:firstLineChars="0"/>
        <w:jc w:val="center"/>
        <w:rPr>
          <w:sz w:val="24"/>
        </w:rPr>
      </w:pPr>
      <w:bookmarkStart w:id="79" w:name="_Toc11433"/>
      <w:bookmarkStart w:id="80" w:name="_Toc19305"/>
      <w:bookmarkStart w:id="81" w:name="_Toc20444"/>
      <w:r>
        <w:rPr>
          <w:rFonts w:hint="eastAsia"/>
          <w:sz w:val="24"/>
        </w:rPr>
        <w:t>关于××××建设项目压覆矿床（矿产资源）</w:t>
      </w:r>
      <w:bookmarkEnd w:id="79"/>
      <w:bookmarkEnd w:id="80"/>
    </w:p>
    <w:p>
      <w:pPr>
        <w:pStyle w:val="11"/>
        <w:ind w:firstLine="0" w:firstLineChars="0"/>
        <w:jc w:val="center"/>
        <w:rPr>
          <w:sz w:val="24"/>
        </w:rPr>
      </w:pPr>
      <w:bookmarkStart w:id="82" w:name="_Toc30092"/>
      <w:bookmarkStart w:id="83" w:name="_Toc32718"/>
      <w:r>
        <w:rPr>
          <w:rFonts w:hint="eastAsia"/>
          <w:sz w:val="24"/>
        </w:rPr>
        <w:t>不可避免性</w:t>
      </w:r>
      <w:bookmarkEnd w:id="81"/>
      <w:bookmarkStart w:id="84" w:name="_Toc1905"/>
      <w:r>
        <w:rPr>
          <w:rFonts w:hint="eastAsia"/>
          <w:sz w:val="24"/>
        </w:rPr>
        <w:t>论证材料</w:t>
      </w:r>
      <w:bookmarkEnd w:id="82"/>
      <w:bookmarkEnd w:id="83"/>
      <w:bookmarkEnd w:id="84"/>
    </w:p>
    <w:p>
      <w:pPr>
        <w:ind w:firstLine="680"/>
        <w:rPr>
          <w:rFonts w:ascii="黑体" w:hAnsi="黑体" w:eastAsia="黑体"/>
          <w:spacing w:val="10"/>
          <w:kern w:val="0"/>
          <w:sz w:val="32"/>
          <w:szCs w:val="32"/>
        </w:rPr>
      </w:pPr>
    </w:p>
    <w:p>
      <w:pPr>
        <w:pStyle w:val="11"/>
        <w:ind w:firstLine="420"/>
        <w:outlineLvl w:val="9"/>
      </w:pPr>
      <w:bookmarkStart w:id="85" w:name="_Toc3486"/>
      <w:bookmarkStart w:id="86" w:name="_Toc17240"/>
      <w:bookmarkStart w:id="87" w:name="_Toc16720"/>
      <w:bookmarkStart w:id="88" w:name="_Toc21845"/>
      <w:bookmarkStart w:id="89" w:name="_Toc21780"/>
      <w:bookmarkStart w:id="90" w:name="_Toc20158"/>
      <w:bookmarkStart w:id="91" w:name="_Toc31205"/>
      <w:r>
        <w:rPr>
          <w:rFonts w:hint="eastAsia"/>
        </w:rPr>
        <w:t>一、建设项目概况</w:t>
      </w:r>
      <w:bookmarkEnd w:id="85"/>
      <w:bookmarkEnd w:id="86"/>
      <w:bookmarkEnd w:id="87"/>
      <w:bookmarkEnd w:id="88"/>
      <w:bookmarkEnd w:id="89"/>
      <w:bookmarkEnd w:id="90"/>
      <w:bookmarkEnd w:id="91"/>
    </w:p>
    <w:p>
      <w:pPr>
        <w:ind w:firstLine="420"/>
      </w:pPr>
      <w:r>
        <w:rPr>
          <w:rFonts w:hint="eastAsia"/>
        </w:rPr>
        <w:t>简要说明</w:t>
      </w:r>
      <w:r>
        <w:t>项目</w:t>
      </w:r>
      <w:r>
        <w:rPr>
          <w:rFonts w:hint="eastAsia"/>
        </w:rPr>
        <w:t>由来、</w:t>
      </w:r>
      <w:r>
        <w:t>主管机关</w:t>
      </w:r>
      <w:r>
        <w:rPr>
          <w:rFonts w:hint="eastAsia"/>
        </w:rPr>
        <w:t>、建设单位、设计单位，建设项目批准（备案）</w:t>
      </w:r>
      <w:r>
        <w:t>机关</w:t>
      </w:r>
      <w:r>
        <w:rPr>
          <w:rFonts w:hint="eastAsia"/>
        </w:rPr>
        <w:t>及</w:t>
      </w:r>
      <w:r>
        <w:t>文号</w:t>
      </w:r>
      <w:r>
        <w:rPr>
          <w:rFonts w:hint="eastAsia"/>
        </w:rPr>
        <w:t>，</w:t>
      </w:r>
      <w:r>
        <w:t>拟建地点</w:t>
      </w:r>
      <w:r>
        <w:rPr>
          <w:rFonts w:hint="eastAsia"/>
        </w:rPr>
        <w:t>，拟用地范围、面积、坐标。</w:t>
      </w:r>
      <w:r>
        <w:t>拟投资规模</w:t>
      </w:r>
      <w:r>
        <w:rPr>
          <w:rFonts w:hint="eastAsia"/>
        </w:rPr>
        <w:t>以及投资经济效益评价。</w:t>
      </w:r>
    </w:p>
    <w:p>
      <w:pPr>
        <w:pStyle w:val="11"/>
        <w:ind w:firstLine="420"/>
        <w:outlineLvl w:val="9"/>
      </w:pPr>
      <w:bookmarkStart w:id="92" w:name="_Toc30735"/>
      <w:bookmarkStart w:id="93" w:name="_Toc24640"/>
      <w:bookmarkStart w:id="94" w:name="_Toc22052"/>
      <w:bookmarkStart w:id="95" w:name="_Toc26656"/>
      <w:bookmarkStart w:id="96" w:name="_Toc30615"/>
      <w:bookmarkStart w:id="97" w:name="_Toc16884"/>
      <w:bookmarkStart w:id="98" w:name="_Toc1990"/>
      <w:r>
        <w:rPr>
          <w:rFonts w:hint="eastAsia"/>
        </w:rPr>
        <w:t>二、建设项目必要性论证</w:t>
      </w:r>
      <w:bookmarkEnd w:id="92"/>
      <w:bookmarkEnd w:id="93"/>
      <w:bookmarkEnd w:id="94"/>
      <w:bookmarkEnd w:id="95"/>
      <w:bookmarkEnd w:id="96"/>
      <w:bookmarkEnd w:id="97"/>
      <w:bookmarkEnd w:id="98"/>
    </w:p>
    <w:p>
      <w:pPr>
        <w:pStyle w:val="11"/>
        <w:ind w:firstLine="420"/>
        <w:outlineLvl w:val="9"/>
      </w:pPr>
      <w:bookmarkStart w:id="99" w:name="_Toc2435"/>
      <w:bookmarkStart w:id="100" w:name="_Toc27787"/>
      <w:bookmarkStart w:id="101" w:name="_Toc15435"/>
      <w:bookmarkStart w:id="102" w:name="_Toc3974"/>
      <w:bookmarkStart w:id="103" w:name="_Toc14828"/>
      <w:bookmarkStart w:id="104" w:name="_Toc2090"/>
      <w:bookmarkStart w:id="105" w:name="_Toc22806"/>
      <w:r>
        <w:rPr>
          <w:rFonts w:hint="eastAsia"/>
        </w:rPr>
        <w:t>三、建设项目压覆范围确定的依据</w:t>
      </w:r>
      <w:bookmarkEnd w:id="99"/>
      <w:bookmarkEnd w:id="100"/>
      <w:bookmarkEnd w:id="101"/>
      <w:bookmarkEnd w:id="102"/>
      <w:bookmarkEnd w:id="103"/>
      <w:bookmarkEnd w:id="104"/>
      <w:bookmarkEnd w:id="105"/>
    </w:p>
    <w:p>
      <w:pPr>
        <w:pStyle w:val="11"/>
        <w:ind w:firstLine="420"/>
        <w:outlineLvl w:val="9"/>
      </w:pPr>
      <w:bookmarkStart w:id="106" w:name="_Toc21168"/>
      <w:bookmarkStart w:id="107" w:name="_Toc28144"/>
      <w:bookmarkStart w:id="108" w:name="_Toc1246"/>
      <w:bookmarkStart w:id="109" w:name="_Toc31321"/>
      <w:bookmarkStart w:id="110" w:name="_Toc13717"/>
      <w:bookmarkStart w:id="111" w:name="_Toc30900"/>
      <w:bookmarkStart w:id="112" w:name="_Toc17450"/>
      <w:r>
        <w:rPr>
          <w:rFonts w:hint="eastAsia"/>
        </w:rPr>
        <w:t>四、项目选址方案对比分析及现选址方案最优化论证</w:t>
      </w:r>
      <w:bookmarkEnd w:id="106"/>
      <w:bookmarkEnd w:id="107"/>
      <w:bookmarkEnd w:id="108"/>
      <w:bookmarkEnd w:id="109"/>
      <w:bookmarkEnd w:id="110"/>
      <w:bookmarkEnd w:id="111"/>
      <w:bookmarkEnd w:id="112"/>
    </w:p>
    <w:p>
      <w:pPr>
        <w:pStyle w:val="11"/>
        <w:ind w:firstLine="420"/>
        <w:outlineLvl w:val="9"/>
      </w:pPr>
      <w:bookmarkStart w:id="113" w:name="_Toc22362"/>
      <w:bookmarkStart w:id="114" w:name="_Toc16284"/>
      <w:bookmarkStart w:id="115" w:name="_Toc26657"/>
      <w:bookmarkStart w:id="116" w:name="_Toc396"/>
      <w:bookmarkStart w:id="117" w:name="_Toc21433"/>
      <w:bookmarkStart w:id="118" w:name="_Toc31490"/>
      <w:bookmarkStart w:id="119" w:name="_Toc25381"/>
      <w:r>
        <w:rPr>
          <w:rFonts w:hint="eastAsia"/>
        </w:rPr>
        <w:t>五、项目设计方案对比分析及现设计方案最优化论证</w:t>
      </w:r>
      <w:bookmarkEnd w:id="113"/>
      <w:bookmarkEnd w:id="114"/>
      <w:bookmarkEnd w:id="115"/>
      <w:bookmarkEnd w:id="116"/>
      <w:bookmarkEnd w:id="117"/>
      <w:bookmarkEnd w:id="118"/>
      <w:bookmarkEnd w:id="119"/>
    </w:p>
    <w:p>
      <w:pPr>
        <w:ind w:firstLine="680"/>
        <w:rPr>
          <w:rFonts w:ascii="仿宋" w:hAnsi="仿宋" w:eastAsia="仿宋"/>
          <w:spacing w:val="10"/>
          <w:kern w:val="0"/>
          <w:sz w:val="32"/>
          <w:szCs w:val="32"/>
        </w:rPr>
      </w:pPr>
    </w:p>
    <w:p>
      <w:pPr>
        <w:pStyle w:val="11"/>
        <w:ind w:firstLine="0" w:firstLineChars="0"/>
      </w:pPr>
      <w:r>
        <w:rPr>
          <w:rFonts w:ascii="宋体" w:hAnsi="宋体"/>
          <w:b/>
          <w:szCs w:val="32"/>
        </w:rPr>
        <w:br w:type="page"/>
      </w:r>
      <w:bookmarkStart w:id="120" w:name="_Toc16258"/>
      <w:bookmarkStart w:id="121" w:name="_Toc20616"/>
      <w:bookmarkStart w:id="122" w:name="_Toc12695"/>
      <w:r>
        <w:rPr>
          <w:rFonts w:hint="eastAsia"/>
        </w:rPr>
        <w:t>附件3：</w:t>
      </w:r>
      <w:bookmarkEnd w:id="120"/>
      <w:bookmarkEnd w:id="121"/>
      <w:bookmarkEnd w:id="122"/>
    </w:p>
    <w:p>
      <w:pPr>
        <w:pStyle w:val="11"/>
        <w:ind w:firstLine="0" w:firstLineChars="0"/>
        <w:jc w:val="center"/>
        <w:rPr>
          <w:sz w:val="24"/>
        </w:rPr>
      </w:pPr>
      <w:bookmarkStart w:id="123" w:name="_Toc22256"/>
      <w:bookmarkStart w:id="124" w:name="_Toc13679"/>
      <w:bookmarkStart w:id="125" w:name="_Toc27694"/>
      <w:r>
        <w:rPr>
          <w:rFonts w:hint="eastAsia"/>
          <w:sz w:val="24"/>
        </w:rPr>
        <w:t>关于××××压覆重要矿床（矿产资源）的评估报告</w:t>
      </w:r>
      <w:bookmarkEnd w:id="123"/>
      <w:bookmarkEnd w:id="124"/>
      <w:bookmarkEnd w:id="125"/>
    </w:p>
    <w:p>
      <w:pPr>
        <w:pStyle w:val="11"/>
        <w:ind w:firstLine="0" w:firstLineChars="0"/>
        <w:jc w:val="center"/>
        <w:outlineLvl w:val="9"/>
        <w:rPr>
          <w:rFonts w:ascii="宋体" w:hAnsi="宋体" w:eastAsia="宋体"/>
          <w:b/>
          <w:bCs/>
        </w:rPr>
      </w:pPr>
      <w:bookmarkStart w:id="126" w:name="_Toc30849"/>
      <w:bookmarkStart w:id="127" w:name="_Toc10660"/>
      <w:bookmarkStart w:id="128" w:name="_Toc31979"/>
      <w:bookmarkStart w:id="129" w:name="_Toc18751"/>
      <w:bookmarkStart w:id="130" w:name="_Toc4518"/>
      <w:bookmarkStart w:id="131" w:name="_Toc25737"/>
      <w:bookmarkStart w:id="132" w:name="_Toc15862"/>
      <w:r>
        <w:rPr>
          <w:rFonts w:hint="eastAsia" w:ascii="宋体" w:hAnsi="宋体" w:eastAsia="宋体"/>
          <w:b/>
          <w:bCs/>
        </w:rPr>
        <w:t>第一章 概况</w:t>
      </w:r>
      <w:bookmarkEnd w:id="126"/>
      <w:bookmarkEnd w:id="127"/>
      <w:bookmarkEnd w:id="128"/>
      <w:bookmarkEnd w:id="129"/>
      <w:bookmarkEnd w:id="130"/>
      <w:bookmarkEnd w:id="131"/>
      <w:bookmarkEnd w:id="132"/>
    </w:p>
    <w:p>
      <w:pPr>
        <w:pStyle w:val="11"/>
        <w:ind w:firstLine="420"/>
        <w:outlineLvl w:val="9"/>
      </w:pPr>
      <w:bookmarkStart w:id="133" w:name="_Toc12396"/>
      <w:bookmarkStart w:id="134" w:name="_Toc29418"/>
      <w:bookmarkStart w:id="135" w:name="_Toc9835"/>
      <w:bookmarkStart w:id="136" w:name="_Toc1545"/>
      <w:bookmarkStart w:id="137" w:name="_Toc20861"/>
      <w:bookmarkStart w:id="138" w:name="_Toc3225"/>
      <w:bookmarkStart w:id="139" w:name="_Toc12094"/>
      <w:r>
        <w:rPr>
          <w:rFonts w:hint="eastAsia"/>
        </w:rPr>
        <w:t>一、建设项目概况</w:t>
      </w:r>
      <w:bookmarkEnd w:id="133"/>
      <w:bookmarkEnd w:id="134"/>
      <w:bookmarkEnd w:id="135"/>
      <w:bookmarkEnd w:id="136"/>
      <w:bookmarkEnd w:id="137"/>
      <w:bookmarkEnd w:id="138"/>
      <w:bookmarkEnd w:id="139"/>
    </w:p>
    <w:p>
      <w:pPr>
        <w:ind w:firstLine="420"/>
      </w:pPr>
      <w:r>
        <w:rPr>
          <w:rFonts w:hint="eastAsia"/>
        </w:rPr>
        <w:t>简要说明</w:t>
      </w:r>
      <w:r>
        <w:t>项目</w:t>
      </w:r>
      <w:r>
        <w:rPr>
          <w:rFonts w:hint="eastAsia"/>
        </w:rPr>
        <w:t>由来、</w:t>
      </w:r>
      <w:r>
        <w:t>主管机关</w:t>
      </w:r>
      <w:r>
        <w:rPr>
          <w:rFonts w:hint="eastAsia"/>
        </w:rPr>
        <w:t>、建设单位、设计单位，建设项目批准（备案）</w:t>
      </w:r>
      <w:r>
        <w:t>机关</w:t>
      </w:r>
      <w:r>
        <w:rPr>
          <w:rFonts w:hint="eastAsia"/>
        </w:rPr>
        <w:t>及</w:t>
      </w:r>
      <w:r>
        <w:t>文号</w:t>
      </w:r>
      <w:r>
        <w:rPr>
          <w:rFonts w:hint="eastAsia"/>
        </w:rPr>
        <w:t>，</w:t>
      </w:r>
      <w:r>
        <w:t>拟建地点</w:t>
      </w:r>
      <w:r>
        <w:rPr>
          <w:rFonts w:hint="eastAsia"/>
        </w:rPr>
        <w:t>，拟用地范围、面积、坐标，</w:t>
      </w:r>
      <w:r>
        <w:t>拟投资规模</w:t>
      </w:r>
      <w:r>
        <w:rPr>
          <w:rFonts w:hint="eastAsia"/>
        </w:rPr>
        <w:t>。</w:t>
      </w:r>
    </w:p>
    <w:p>
      <w:pPr>
        <w:pStyle w:val="11"/>
        <w:ind w:firstLine="420"/>
        <w:outlineLvl w:val="9"/>
      </w:pPr>
      <w:bookmarkStart w:id="140" w:name="_Toc19790"/>
      <w:bookmarkStart w:id="141" w:name="_Toc13484"/>
      <w:bookmarkStart w:id="142" w:name="_Toc21787"/>
      <w:bookmarkStart w:id="143" w:name="_Toc31042"/>
      <w:bookmarkStart w:id="144" w:name="_Toc21942"/>
      <w:bookmarkStart w:id="145" w:name="_Toc23198"/>
      <w:bookmarkStart w:id="146" w:name="_Toc18604"/>
      <w:r>
        <w:rPr>
          <w:rFonts w:hint="eastAsia"/>
        </w:rPr>
        <w:t>二、目的任务</w:t>
      </w:r>
      <w:bookmarkEnd w:id="140"/>
      <w:bookmarkEnd w:id="141"/>
      <w:bookmarkEnd w:id="142"/>
      <w:bookmarkEnd w:id="143"/>
      <w:bookmarkEnd w:id="144"/>
      <w:bookmarkEnd w:id="145"/>
      <w:bookmarkEnd w:id="146"/>
    </w:p>
    <w:p>
      <w:pPr>
        <w:pStyle w:val="11"/>
        <w:ind w:firstLine="420"/>
        <w:outlineLvl w:val="9"/>
      </w:pPr>
      <w:bookmarkStart w:id="147" w:name="_Toc404"/>
      <w:bookmarkStart w:id="148" w:name="_Toc4581"/>
      <w:bookmarkStart w:id="149" w:name="_Toc12096"/>
      <w:bookmarkStart w:id="150" w:name="_Toc2175"/>
      <w:bookmarkStart w:id="151" w:name="_Toc12080"/>
      <w:bookmarkStart w:id="152" w:name="_Toc17596"/>
      <w:bookmarkStart w:id="153" w:name="_Toc26234"/>
      <w:r>
        <w:rPr>
          <w:rFonts w:hint="eastAsia"/>
        </w:rPr>
        <w:t>三、建设项目所在地概况</w:t>
      </w:r>
      <w:bookmarkEnd w:id="147"/>
      <w:bookmarkEnd w:id="148"/>
      <w:bookmarkEnd w:id="149"/>
      <w:bookmarkEnd w:id="150"/>
      <w:bookmarkEnd w:id="151"/>
      <w:bookmarkEnd w:id="152"/>
      <w:bookmarkEnd w:id="153"/>
    </w:p>
    <w:p>
      <w:pPr>
        <w:ind w:firstLine="420"/>
      </w:pPr>
      <w:r>
        <w:rPr>
          <w:rFonts w:hint="eastAsia"/>
        </w:rPr>
        <w:t>位置、交通,自然地理、社会经济概况。</w:t>
      </w:r>
    </w:p>
    <w:p>
      <w:pPr>
        <w:pStyle w:val="11"/>
        <w:ind w:firstLine="420"/>
        <w:outlineLvl w:val="9"/>
      </w:pPr>
      <w:bookmarkStart w:id="154" w:name="_Toc27118"/>
      <w:bookmarkStart w:id="155" w:name="_Toc3555"/>
      <w:bookmarkStart w:id="156" w:name="_Toc24476"/>
      <w:bookmarkStart w:id="157" w:name="_Toc7006"/>
      <w:bookmarkStart w:id="158" w:name="_Toc3271"/>
      <w:bookmarkStart w:id="159" w:name="_Toc1822"/>
      <w:bookmarkStart w:id="160" w:name="_Toc25749"/>
      <w:r>
        <w:rPr>
          <w:rFonts w:hint="eastAsia"/>
        </w:rPr>
        <w:t>四、建设项目用地及周边地区以往地质工作</w:t>
      </w:r>
      <w:bookmarkEnd w:id="154"/>
      <w:bookmarkEnd w:id="155"/>
      <w:bookmarkEnd w:id="156"/>
      <w:bookmarkEnd w:id="157"/>
      <w:bookmarkEnd w:id="158"/>
      <w:bookmarkEnd w:id="159"/>
      <w:bookmarkEnd w:id="160"/>
    </w:p>
    <w:p>
      <w:pPr>
        <w:ind w:firstLine="420"/>
      </w:pPr>
      <w:r>
        <w:rPr>
          <w:rFonts w:hint="eastAsia"/>
        </w:rPr>
        <w:t>简述以往地质勘查工作单位名称、工作时限、提交的地质成果、评审备案（审批、认定）情况及储量类型与数量；建设用地压覆区内矿区（产地）情况。</w:t>
      </w:r>
    </w:p>
    <w:p>
      <w:pPr>
        <w:pStyle w:val="11"/>
        <w:ind w:firstLine="420"/>
        <w:outlineLvl w:val="9"/>
      </w:pPr>
      <w:bookmarkStart w:id="161" w:name="_Toc16163"/>
      <w:bookmarkStart w:id="162" w:name="_Toc7262"/>
      <w:bookmarkStart w:id="163" w:name="_Toc26486"/>
      <w:bookmarkStart w:id="164" w:name="_Toc25559"/>
      <w:bookmarkStart w:id="165" w:name="_Toc21548"/>
      <w:bookmarkStart w:id="166" w:name="_Toc26577"/>
      <w:bookmarkStart w:id="167" w:name="_Toc12304"/>
      <w:r>
        <w:rPr>
          <w:rFonts w:hint="eastAsia"/>
        </w:rPr>
        <w:t>五、建设项目用地及周边地区矿业权设置情况</w:t>
      </w:r>
      <w:bookmarkEnd w:id="161"/>
      <w:bookmarkEnd w:id="162"/>
      <w:bookmarkEnd w:id="163"/>
      <w:bookmarkEnd w:id="164"/>
      <w:bookmarkEnd w:id="165"/>
      <w:bookmarkEnd w:id="166"/>
      <w:bookmarkEnd w:id="167"/>
    </w:p>
    <w:p>
      <w:pPr>
        <w:ind w:firstLine="420"/>
      </w:pPr>
      <w:r>
        <w:rPr>
          <w:rFonts w:hint="eastAsia"/>
        </w:rPr>
        <w:t>勘查、开采单位名称、矿种、范围及拐点坐标、法人、生产规模、探矿权、采矿权证号、有效期等情况；建设用地压覆区内探矿权、采矿权设置情况。</w:t>
      </w:r>
    </w:p>
    <w:p>
      <w:pPr>
        <w:pStyle w:val="11"/>
        <w:ind w:firstLine="420"/>
        <w:outlineLvl w:val="9"/>
      </w:pPr>
      <w:bookmarkStart w:id="168" w:name="_Toc28164"/>
      <w:bookmarkStart w:id="169" w:name="_Toc27559"/>
      <w:bookmarkStart w:id="170" w:name="_Toc21554"/>
      <w:bookmarkStart w:id="171" w:name="_Toc25947"/>
      <w:bookmarkStart w:id="172" w:name="_Toc11862"/>
      <w:bookmarkStart w:id="173" w:name="_Toc8943"/>
      <w:bookmarkStart w:id="174" w:name="_Toc30164"/>
      <w:r>
        <w:rPr>
          <w:rFonts w:hint="eastAsia"/>
        </w:rPr>
        <w:t>六、本次调查情况简述</w:t>
      </w:r>
      <w:bookmarkEnd w:id="168"/>
      <w:bookmarkEnd w:id="169"/>
      <w:bookmarkEnd w:id="170"/>
      <w:bookmarkEnd w:id="171"/>
      <w:bookmarkEnd w:id="172"/>
      <w:bookmarkEnd w:id="173"/>
      <w:bookmarkEnd w:id="174"/>
    </w:p>
    <w:p>
      <w:pPr>
        <w:ind w:firstLine="420"/>
      </w:pPr>
      <w:r>
        <w:rPr>
          <w:rFonts w:hint="eastAsia"/>
        </w:rPr>
        <w:t>（一）调查工作起止时间、工作范围及投入的主要工作量 。</w:t>
      </w:r>
    </w:p>
    <w:p>
      <w:pPr>
        <w:ind w:firstLine="420"/>
      </w:pPr>
      <w:r>
        <w:rPr>
          <w:rFonts w:hint="eastAsia"/>
        </w:rPr>
        <w:t>（二）调查依据（法律法规、标准、规范、储量报告）。</w:t>
      </w:r>
    </w:p>
    <w:p>
      <w:pPr>
        <w:ind w:firstLine="420"/>
      </w:pPr>
      <w:r>
        <w:rPr>
          <w:rFonts w:hint="eastAsia"/>
        </w:rPr>
        <w:t>（三）调查工作方法及质量评述（主要包括地质测量工作方法、精度；地质编录、取样方法、化验及其质量等）。</w:t>
      </w:r>
    </w:p>
    <w:p>
      <w:pPr>
        <w:ind w:firstLine="420"/>
      </w:pPr>
      <w:r>
        <w:rPr>
          <w:rFonts w:hint="eastAsia"/>
        </w:rPr>
        <w:t>（四）调查工作取得的主要成果。</w:t>
      </w:r>
    </w:p>
    <w:p>
      <w:pPr>
        <w:pStyle w:val="11"/>
        <w:ind w:firstLine="0" w:firstLineChars="0"/>
        <w:jc w:val="center"/>
        <w:outlineLvl w:val="9"/>
        <w:rPr>
          <w:rFonts w:ascii="宋体" w:hAnsi="宋体" w:eastAsia="宋体"/>
          <w:b/>
          <w:bCs/>
        </w:rPr>
      </w:pPr>
      <w:bookmarkStart w:id="175" w:name="_Toc6215"/>
      <w:bookmarkStart w:id="176" w:name="_Toc30055"/>
      <w:bookmarkStart w:id="177" w:name="_Toc21987"/>
      <w:bookmarkStart w:id="178" w:name="_Toc7999"/>
      <w:bookmarkStart w:id="179" w:name="_Toc26619"/>
      <w:r>
        <w:rPr>
          <w:rFonts w:hint="eastAsia" w:ascii="宋体" w:hAnsi="宋体" w:eastAsia="宋体"/>
          <w:b/>
          <w:bCs/>
        </w:rPr>
        <w:t>第二章 建设项目压覆重要矿产资源必然性论证</w:t>
      </w:r>
      <w:bookmarkEnd w:id="175"/>
      <w:bookmarkEnd w:id="176"/>
      <w:bookmarkEnd w:id="177"/>
      <w:bookmarkEnd w:id="178"/>
      <w:bookmarkEnd w:id="179"/>
    </w:p>
    <w:p>
      <w:pPr>
        <w:pStyle w:val="11"/>
        <w:ind w:firstLine="420"/>
        <w:outlineLvl w:val="9"/>
      </w:pPr>
      <w:bookmarkStart w:id="180" w:name="_Toc12772"/>
      <w:bookmarkStart w:id="181" w:name="_Toc19818"/>
      <w:bookmarkStart w:id="182" w:name="_Toc2941"/>
      <w:bookmarkStart w:id="183" w:name="_Toc18920"/>
      <w:bookmarkStart w:id="184" w:name="_Toc1982"/>
      <w:bookmarkStart w:id="185" w:name="_Toc29988"/>
      <w:bookmarkStart w:id="186" w:name="_Toc32523"/>
      <w:r>
        <w:rPr>
          <w:rFonts w:hint="eastAsia"/>
        </w:rPr>
        <w:t>一、建设项目必要性论证</w:t>
      </w:r>
      <w:bookmarkEnd w:id="180"/>
      <w:bookmarkEnd w:id="181"/>
      <w:bookmarkEnd w:id="182"/>
      <w:bookmarkEnd w:id="183"/>
      <w:bookmarkEnd w:id="184"/>
      <w:bookmarkEnd w:id="185"/>
      <w:bookmarkEnd w:id="186"/>
    </w:p>
    <w:p>
      <w:pPr>
        <w:pStyle w:val="11"/>
        <w:ind w:firstLine="420"/>
        <w:outlineLvl w:val="9"/>
      </w:pPr>
      <w:bookmarkStart w:id="187" w:name="_Toc1103"/>
      <w:bookmarkStart w:id="188" w:name="_Toc26387"/>
      <w:bookmarkStart w:id="189" w:name="_Toc31245"/>
      <w:bookmarkStart w:id="190" w:name="_Toc6942"/>
      <w:bookmarkStart w:id="191" w:name="_Toc12474"/>
      <w:bookmarkStart w:id="192" w:name="_Toc9745"/>
      <w:bookmarkStart w:id="193" w:name="_Toc13959"/>
      <w:r>
        <w:rPr>
          <w:rFonts w:hint="eastAsia"/>
        </w:rPr>
        <w:t>二、建设项目压覆重要矿产资源不可避免性论证</w:t>
      </w:r>
      <w:bookmarkEnd w:id="187"/>
      <w:bookmarkEnd w:id="188"/>
      <w:bookmarkEnd w:id="189"/>
      <w:bookmarkEnd w:id="190"/>
      <w:bookmarkEnd w:id="191"/>
      <w:bookmarkEnd w:id="192"/>
      <w:bookmarkEnd w:id="193"/>
    </w:p>
    <w:p>
      <w:pPr>
        <w:ind w:firstLine="420"/>
      </w:pPr>
      <w:r>
        <w:rPr>
          <w:rFonts w:hint="eastAsia"/>
        </w:rPr>
        <w:t>（一）项目选址方案对比分析及现选址方案最优化论证。</w:t>
      </w:r>
    </w:p>
    <w:p>
      <w:pPr>
        <w:ind w:firstLine="420"/>
      </w:pPr>
      <w:r>
        <w:rPr>
          <w:rFonts w:hint="eastAsia"/>
        </w:rPr>
        <w:t>（二）项目设计方案对比分析及现设计方案最优化论证。</w:t>
      </w:r>
    </w:p>
    <w:p>
      <w:pPr>
        <w:pStyle w:val="11"/>
        <w:ind w:firstLine="420"/>
        <w:outlineLvl w:val="9"/>
      </w:pPr>
      <w:bookmarkStart w:id="194" w:name="_Toc9784"/>
      <w:bookmarkStart w:id="195" w:name="_Toc28558"/>
      <w:bookmarkStart w:id="196" w:name="_Toc5051"/>
      <w:bookmarkStart w:id="197" w:name="_Toc6526"/>
      <w:bookmarkStart w:id="198" w:name="_Toc31401"/>
      <w:bookmarkStart w:id="199" w:name="_Toc23310"/>
      <w:bookmarkStart w:id="200" w:name="_Toc8696"/>
      <w:r>
        <w:rPr>
          <w:rFonts w:hint="eastAsia"/>
        </w:rPr>
        <w:t>三、项目社会经济效益评价</w:t>
      </w:r>
      <w:bookmarkEnd w:id="194"/>
      <w:bookmarkEnd w:id="195"/>
      <w:bookmarkEnd w:id="196"/>
      <w:bookmarkEnd w:id="197"/>
      <w:bookmarkEnd w:id="198"/>
      <w:bookmarkEnd w:id="199"/>
      <w:bookmarkEnd w:id="200"/>
    </w:p>
    <w:p>
      <w:pPr>
        <w:pStyle w:val="11"/>
        <w:ind w:firstLine="0" w:firstLineChars="0"/>
        <w:jc w:val="center"/>
        <w:outlineLvl w:val="9"/>
        <w:rPr>
          <w:rFonts w:ascii="宋体" w:hAnsi="宋体" w:eastAsia="宋体"/>
          <w:b/>
          <w:bCs/>
        </w:rPr>
      </w:pPr>
      <w:bookmarkStart w:id="201" w:name="_Toc8580"/>
      <w:bookmarkStart w:id="202" w:name="_Toc2044"/>
      <w:bookmarkStart w:id="203" w:name="_Toc3226"/>
      <w:bookmarkStart w:id="204" w:name="_Toc31372"/>
      <w:bookmarkStart w:id="205" w:name="_Toc13472"/>
      <w:r>
        <w:rPr>
          <w:rFonts w:hint="eastAsia" w:ascii="宋体" w:hAnsi="宋体" w:eastAsia="宋体"/>
          <w:b/>
          <w:bCs/>
        </w:rPr>
        <w:t>第三章 建设项目压覆重要资源储量估算</w:t>
      </w:r>
      <w:bookmarkEnd w:id="201"/>
      <w:bookmarkEnd w:id="202"/>
      <w:bookmarkEnd w:id="203"/>
      <w:bookmarkEnd w:id="204"/>
      <w:bookmarkEnd w:id="205"/>
    </w:p>
    <w:p>
      <w:pPr>
        <w:pStyle w:val="11"/>
        <w:ind w:firstLine="420"/>
        <w:outlineLvl w:val="9"/>
      </w:pPr>
      <w:bookmarkStart w:id="206" w:name="_Toc23668"/>
      <w:bookmarkStart w:id="207" w:name="_Toc2447"/>
      <w:bookmarkStart w:id="208" w:name="_Toc7667"/>
      <w:bookmarkStart w:id="209" w:name="_Toc31333"/>
      <w:bookmarkStart w:id="210" w:name="_Toc31395"/>
      <w:bookmarkStart w:id="211" w:name="_Toc8574"/>
      <w:bookmarkStart w:id="212" w:name="_Toc15972"/>
      <w:r>
        <w:rPr>
          <w:rFonts w:hint="eastAsia"/>
        </w:rPr>
        <w:t>一、资源储量估算工业指标及其依据</w:t>
      </w:r>
      <w:bookmarkEnd w:id="206"/>
      <w:bookmarkEnd w:id="207"/>
      <w:bookmarkEnd w:id="208"/>
      <w:bookmarkEnd w:id="209"/>
      <w:bookmarkEnd w:id="210"/>
      <w:bookmarkEnd w:id="211"/>
      <w:bookmarkEnd w:id="212"/>
    </w:p>
    <w:p>
      <w:pPr>
        <w:pStyle w:val="11"/>
        <w:ind w:firstLine="420"/>
        <w:outlineLvl w:val="9"/>
      </w:pPr>
      <w:bookmarkStart w:id="213" w:name="_Toc27570"/>
      <w:bookmarkStart w:id="214" w:name="_Toc14652"/>
      <w:bookmarkStart w:id="215" w:name="_Toc27913"/>
      <w:bookmarkStart w:id="216" w:name="_Toc25216"/>
      <w:bookmarkStart w:id="217" w:name="_Toc29916"/>
      <w:bookmarkStart w:id="218" w:name="_Toc13667"/>
      <w:bookmarkStart w:id="219" w:name="_Toc13013"/>
      <w:r>
        <w:rPr>
          <w:rFonts w:hint="eastAsia"/>
        </w:rPr>
        <w:t>二、资源储量估算方法的选择及依据</w:t>
      </w:r>
      <w:bookmarkEnd w:id="213"/>
      <w:bookmarkEnd w:id="214"/>
      <w:bookmarkEnd w:id="215"/>
      <w:bookmarkEnd w:id="216"/>
      <w:bookmarkEnd w:id="217"/>
      <w:bookmarkEnd w:id="218"/>
      <w:bookmarkEnd w:id="219"/>
    </w:p>
    <w:p>
      <w:pPr>
        <w:pStyle w:val="11"/>
        <w:ind w:firstLine="420"/>
        <w:outlineLvl w:val="9"/>
      </w:pPr>
      <w:bookmarkStart w:id="220" w:name="_Toc5196"/>
      <w:bookmarkStart w:id="221" w:name="_Toc25337"/>
      <w:bookmarkStart w:id="222" w:name="_Toc11791"/>
      <w:bookmarkStart w:id="223" w:name="_Toc10939"/>
      <w:bookmarkStart w:id="224" w:name="_Toc17355"/>
      <w:bookmarkStart w:id="225" w:name="_Toc23431"/>
      <w:bookmarkStart w:id="226" w:name="_Toc27609"/>
      <w:r>
        <w:rPr>
          <w:rFonts w:hint="eastAsia"/>
        </w:rPr>
        <w:t>三、资源储量估算范围</w:t>
      </w:r>
      <w:bookmarkEnd w:id="220"/>
      <w:bookmarkEnd w:id="221"/>
      <w:bookmarkEnd w:id="222"/>
      <w:bookmarkEnd w:id="223"/>
      <w:bookmarkEnd w:id="224"/>
      <w:bookmarkEnd w:id="225"/>
      <w:bookmarkEnd w:id="226"/>
    </w:p>
    <w:p>
      <w:pPr>
        <w:ind w:firstLine="420"/>
      </w:pPr>
      <w:r>
        <w:rPr>
          <w:rFonts w:hint="eastAsia"/>
        </w:rPr>
        <w:t>确定的依据、方法，计算公式，压覆区边界拐点坐标、标高及面积</w:t>
      </w:r>
    </w:p>
    <w:p>
      <w:pPr>
        <w:pStyle w:val="11"/>
        <w:ind w:firstLine="420"/>
        <w:outlineLvl w:val="9"/>
      </w:pPr>
      <w:bookmarkStart w:id="227" w:name="_Toc15760"/>
      <w:bookmarkStart w:id="228" w:name="_Toc31148"/>
      <w:bookmarkStart w:id="229" w:name="_Toc27712"/>
      <w:bookmarkStart w:id="230" w:name="_Toc25998"/>
      <w:bookmarkStart w:id="231" w:name="_Toc1016"/>
      <w:bookmarkStart w:id="232" w:name="_Toc2292"/>
      <w:bookmarkStart w:id="233" w:name="_Toc2037"/>
      <w:r>
        <w:rPr>
          <w:rFonts w:hint="eastAsia"/>
        </w:rPr>
        <w:t>四、矿体圈定及块段划分原则</w:t>
      </w:r>
      <w:bookmarkEnd w:id="227"/>
      <w:bookmarkEnd w:id="228"/>
      <w:bookmarkEnd w:id="229"/>
      <w:bookmarkEnd w:id="230"/>
      <w:bookmarkEnd w:id="231"/>
      <w:bookmarkEnd w:id="232"/>
      <w:bookmarkEnd w:id="233"/>
    </w:p>
    <w:p>
      <w:pPr>
        <w:pStyle w:val="11"/>
        <w:ind w:firstLine="420"/>
        <w:outlineLvl w:val="9"/>
      </w:pPr>
      <w:bookmarkStart w:id="234" w:name="_Toc21089"/>
      <w:bookmarkStart w:id="235" w:name="_Toc10563"/>
      <w:bookmarkStart w:id="236" w:name="_Toc7236"/>
      <w:bookmarkStart w:id="237" w:name="_Toc306"/>
      <w:bookmarkStart w:id="238" w:name="_Toc30857"/>
      <w:bookmarkStart w:id="239" w:name="_Toc26052"/>
      <w:bookmarkStart w:id="240" w:name="_Toc20162"/>
      <w:r>
        <w:rPr>
          <w:rFonts w:hint="eastAsia"/>
        </w:rPr>
        <w:t>五、资源储量估算参数的确定</w:t>
      </w:r>
      <w:bookmarkEnd w:id="234"/>
      <w:bookmarkEnd w:id="235"/>
      <w:bookmarkEnd w:id="236"/>
      <w:bookmarkEnd w:id="237"/>
      <w:bookmarkEnd w:id="238"/>
      <w:bookmarkEnd w:id="239"/>
      <w:bookmarkEnd w:id="240"/>
    </w:p>
    <w:p>
      <w:pPr>
        <w:pStyle w:val="11"/>
        <w:ind w:firstLine="420"/>
        <w:outlineLvl w:val="9"/>
      </w:pPr>
      <w:bookmarkStart w:id="241" w:name="_Toc11429"/>
      <w:bookmarkStart w:id="242" w:name="_Toc18285"/>
      <w:bookmarkStart w:id="243" w:name="_Toc748"/>
      <w:bookmarkStart w:id="244" w:name="_Toc3350"/>
      <w:bookmarkStart w:id="245" w:name="_Toc28489"/>
      <w:bookmarkStart w:id="246" w:name="_Toc1041"/>
      <w:bookmarkStart w:id="247" w:name="_Toc5715"/>
      <w:r>
        <w:rPr>
          <w:rFonts w:hint="eastAsia"/>
        </w:rPr>
        <w:t>六、资源储量估算结果</w:t>
      </w:r>
      <w:bookmarkEnd w:id="241"/>
      <w:bookmarkEnd w:id="242"/>
      <w:bookmarkEnd w:id="243"/>
      <w:bookmarkEnd w:id="244"/>
      <w:bookmarkEnd w:id="245"/>
      <w:bookmarkEnd w:id="246"/>
      <w:bookmarkEnd w:id="247"/>
    </w:p>
    <w:p>
      <w:pPr>
        <w:ind w:firstLine="420"/>
      </w:pPr>
      <w:r>
        <w:rPr>
          <w:rFonts w:hint="eastAsia"/>
        </w:rPr>
        <w:t>按矿体（层）、矿区、探矿权、采矿权人估算被压覆的资源储量（含表格）。</w:t>
      </w:r>
    </w:p>
    <w:p>
      <w:pPr>
        <w:pStyle w:val="11"/>
        <w:ind w:firstLine="420"/>
        <w:outlineLvl w:val="9"/>
      </w:pPr>
      <w:bookmarkStart w:id="248" w:name="_Toc5339"/>
      <w:bookmarkStart w:id="249" w:name="_Toc14081"/>
      <w:bookmarkStart w:id="250" w:name="_Toc8123"/>
      <w:bookmarkStart w:id="251" w:name="_Toc7948"/>
      <w:bookmarkStart w:id="252" w:name="_Toc19727"/>
      <w:bookmarkStart w:id="253" w:name="_Toc20395"/>
      <w:bookmarkStart w:id="254" w:name="_Toc23219"/>
      <w:r>
        <w:rPr>
          <w:rFonts w:hint="eastAsia"/>
        </w:rPr>
        <w:t>七、资源储量变化情况评述</w:t>
      </w:r>
      <w:bookmarkEnd w:id="248"/>
      <w:bookmarkEnd w:id="249"/>
      <w:bookmarkEnd w:id="250"/>
      <w:bookmarkEnd w:id="251"/>
      <w:bookmarkEnd w:id="252"/>
      <w:bookmarkEnd w:id="253"/>
      <w:bookmarkEnd w:id="254"/>
    </w:p>
    <w:p>
      <w:pPr>
        <w:ind w:firstLine="420"/>
      </w:pPr>
      <w:r>
        <w:rPr>
          <w:rFonts w:hint="eastAsia"/>
        </w:rPr>
        <w:t>（一）本次结果与所依据的储量报告估算结果对比分析（储量类型、数量变化及其原因）。</w:t>
      </w:r>
    </w:p>
    <w:p>
      <w:pPr>
        <w:ind w:firstLine="420"/>
      </w:pPr>
      <w:r>
        <w:rPr>
          <w:rFonts w:hint="eastAsia"/>
        </w:rPr>
        <w:t>（二）本次估算结果与对应储量表中资源储量数据对比分析（储量类型、数量变化及其原因）。</w:t>
      </w:r>
    </w:p>
    <w:p>
      <w:pPr>
        <w:pStyle w:val="11"/>
        <w:ind w:firstLine="0" w:firstLineChars="0"/>
        <w:jc w:val="center"/>
        <w:outlineLvl w:val="9"/>
        <w:rPr>
          <w:rFonts w:ascii="宋体" w:hAnsi="宋体" w:eastAsia="宋体"/>
          <w:b/>
          <w:bCs/>
        </w:rPr>
      </w:pPr>
      <w:bookmarkStart w:id="255" w:name="_Toc11177"/>
      <w:bookmarkStart w:id="256" w:name="_Toc3205"/>
      <w:bookmarkStart w:id="257" w:name="_Toc24923"/>
      <w:bookmarkStart w:id="258" w:name="_Toc2504"/>
      <w:bookmarkStart w:id="259" w:name="_Toc30713"/>
      <w:r>
        <w:rPr>
          <w:rFonts w:hint="eastAsia" w:ascii="宋体" w:hAnsi="宋体" w:eastAsia="宋体"/>
          <w:b/>
          <w:bCs/>
        </w:rPr>
        <w:t>第四章 经济社会效益对比分析</w:t>
      </w:r>
      <w:bookmarkEnd w:id="255"/>
      <w:bookmarkEnd w:id="256"/>
      <w:bookmarkEnd w:id="257"/>
      <w:bookmarkEnd w:id="258"/>
      <w:bookmarkEnd w:id="259"/>
    </w:p>
    <w:p>
      <w:pPr>
        <w:ind w:firstLine="420"/>
      </w:pPr>
      <w:r>
        <w:rPr>
          <w:rFonts w:hint="eastAsia"/>
        </w:rPr>
        <w:t>详细论述建设项目与被压覆资源的经济社会效益对比分析。</w:t>
      </w:r>
    </w:p>
    <w:p>
      <w:pPr>
        <w:pStyle w:val="11"/>
        <w:ind w:firstLine="0" w:firstLineChars="0"/>
        <w:jc w:val="center"/>
        <w:outlineLvl w:val="9"/>
        <w:rPr>
          <w:rFonts w:ascii="宋体" w:hAnsi="宋体" w:eastAsia="宋体"/>
          <w:b/>
          <w:bCs/>
        </w:rPr>
      </w:pPr>
      <w:bookmarkStart w:id="260" w:name="_Toc12756"/>
      <w:bookmarkStart w:id="261" w:name="_Toc25400"/>
      <w:bookmarkStart w:id="262" w:name="_Toc8128"/>
      <w:bookmarkStart w:id="263" w:name="_Toc10052"/>
      <w:bookmarkStart w:id="264" w:name="_Toc21074"/>
      <w:r>
        <w:rPr>
          <w:rFonts w:hint="eastAsia" w:ascii="宋体" w:hAnsi="宋体" w:eastAsia="宋体"/>
          <w:b/>
          <w:bCs/>
        </w:rPr>
        <w:t>第五章 结论及建议</w:t>
      </w:r>
      <w:bookmarkEnd w:id="260"/>
      <w:bookmarkEnd w:id="261"/>
      <w:bookmarkEnd w:id="262"/>
      <w:bookmarkEnd w:id="263"/>
      <w:bookmarkEnd w:id="264"/>
    </w:p>
    <w:p>
      <w:pPr>
        <w:ind w:left="1260" w:leftChars="200" w:hanging="840" w:hangingChars="400"/>
      </w:pPr>
      <w:r>
        <w:rPr>
          <w:rFonts w:hint="eastAsia"/>
        </w:rPr>
        <w:t>附件：1.项目批准（备案）等文件（复印件，加盖项目单位公章）</w:t>
      </w:r>
    </w:p>
    <w:p>
      <w:pPr>
        <w:ind w:left="1260" w:leftChars="500" w:hanging="210" w:hangingChars="100"/>
      </w:pPr>
      <w:r>
        <w:rPr>
          <w:rFonts w:hint="eastAsia"/>
        </w:rPr>
        <w:t>2.编制压覆重要矿产资源评估报告单位资质证明文件（复印件，加盖本单位公章）</w:t>
      </w:r>
    </w:p>
    <w:p>
      <w:pPr>
        <w:ind w:left="1260" w:leftChars="500" w:hanging="210" w:hangingChars="100"/>
      </w:pPr>
      <w:r>
        <w:rPr>
          <w:rFonts w:hint="eastAsia"/>
        </w:rPr>
        <w:t>3.编制压覆重要矿产资源评估报告委托函或者合同（原件）</w:t>
      </w:r>
    </w:p>
    <w:p>
      <w:pPr>
        <w:ind w:firstLine="1050" w:firstLineChars="500"/>
      </w:pPr>
      <w:r>
        <w:rPr>
          <w:rFonts w:hint="eastAsia"/>
        </w:rPr>
        <w:t>4.建设单位确定压覆区范围论证材料</w:t>
      </w:r>
    </w:p>
    <w:p>
      <w:pPr>
        <w:ind w:left="1260" w:leftChars="200" w:hanging="840" w:hangingChars="400"/>
      </w:pPr>
      <w:r>
        <w:rPr>
          <w:rFonts w:hint="eastAsia"/>
        </w:rPr>
        <w:t xml:space="preserve">附图：1.地形地质图（1/10000或1/5000，标明项目的拟用地范围、压覆区范围） </w:t>
      </w:r>
    </w:p>
    <w:p>
      <w:pPr>
        <w:ind w:left="1260" w:leftChars="500" w:hanging="210" w:hangingChars="100"/>
      </w:pPr>
      <w:r>
        <w:rPr>
          <w:rFonts w:hint="eastAsia"/>
        </w:rPr>
        <w:t>2.原储量报告在压覆区的资源储量计算图（或组图）</w:t>
      </w:r>
    </w:p>
    <w:p>
      <w:pPr>
        <w:ind w:firstLine="1050" w:firstLineChars="500"/>
      </w:pPr>
      <w:r>
        <w:rPr>
          <w:rFonts w:hint="eastAsia"/>
        </w:rPr>
        <w:t>3.资源储量计算图（或组图）</w:t>
      </w:r>
    </w:p>
    <w:p>
      <w:pPr>
        <w:ind w:firstLine="1050" w:firstLineChars="500"/>
      </w:pPr>
      <w:r>
        <w:rPr>
          <w:rFonts w:hint="eastAsia"/>
        </w:rPr>
        <w:t>4.压覆区（地段）地质（代表性）剖面图</w:t>
      </w:r>
    </w:p>
    <w:p>
      <w:pPr>
        <w:ind w:firstLine="1050" w:firstLineChars="500"/>
      </w:pPr>
      <w:r>
        <w:rPr>
          <w:rFonts w:hint="eastAsia"/>
        </w:rPr>
        <w:t>5.资源储量计算所利用工程的钻孔柱状图</w:t>
      </w:r>
    </w:p>
    <w:p>
      <w:pPr>
        <w:ind w:left="1260" w:leftChars="500" w:hanging="210" w:hangingChars="100"/>
      </w:pPr>
      <w:r>
        <w:rPr>
          <w:rFonts w:hint="eastAsia"/>
        </w:rPr>
        <w:t>6.本次资源储量估算范围与所依据储量报告资源储量估算范围叠合图</w:t>
      </w:r>
    </w:p>
    <w:p>
      <w:pPr>
        <w:ind w:left="1260" w:leftChars="500" w:hanging="210" w:hangingChars="100"/>
      </w:pPr>
      <w:r>
        <w:rPr>
          <w:rFonts w:hint="eastAsia"/>
        </w:rPr>
        <w:t>7.项目拟用地范围、压覆区范围、压覆区内探矿权、采矿权范围和矿区（产地）资源储量估算范围叠合图</w:t>
      </w:r>
    </w:p>
    <w:p>
      <w:pPr>
        <w:ind w:firstLine="1050" w:firstLineChars="500"/>
      </w:pPr>
      <w:r>
        <w:rPr>
          <w:rFonts w:hint="eastAsia"/>
        </w:rPr>
        <w:t>8.建筑物平面分布图（含拐点坐标）</w:t>
      </w:r>
    </w:p>
    <w:p>
      <w:pPr>
        <w:ind w:firstLine="420"/>
      </w:pPr>
      <w:r>
        <w:rPr>
          <w:rFonts w:hint="eastAsia"/>
        </w:rPr>
        <w:t>附表：1.储量估算表</w:t>
      </w:r>
    </w:p>
    <w:p>
      <w:pPr>
        <w:ind w:firstLine="1050" w:firstLineChars="500"/>
      </w:pPr>
      <w:r>
        <w:rPr>
          <w:rFonts w:hint="eastAsia"/>
        </w:rPr>
        <w:t xml:space="preserve">2.测量成果表 </w:t>
      </w:r>
    </w:p>
    <w:p>
      <w:pPr>
        <w:ind w:left="1260" w:leftChars="500" w:hanging="210" w:hangingChars="100"/>
      </w:pPr>
      <w:r>
        <w:rPr>
          <w:rFonts w:hint="eastAsia"/>
        </w:rPr>
        <w:t>3.本次估算的资源储量与对应储量表资源储量对比变化表（储量类型、数量变化）</w:t>
      </w:r>
    </w:p>
    <w:p>
      <w:pPr>
        <w:pStyle w:val="11"/>
        <w:ind w:firstLine="0" w:firstLineChars="0"/>
      </w:pPr>
      <w:r>
        <w:rPr>
          <w:rFonts w:ascii="华文中宋" w:hAnsi="华文中宋" w:eastAsia="华文中宋" w:cs="宋体"/>
          <w:b/>
          <w:bCs/>
          <w:kern w:val="0"/>
          <w:szCs w:val="32"/>
        </w:rPr>
        <w:br w:type="page"/>
      </w:r>
      <w:bookmarkStart w:id="265" w:name="_Toc4688"/>
      <w:bookmarkStart w:id="266" w:name="_Toc2307"/>
      <w:bookmarkStart w:id="267" w:name="_Toc12237"/>
      <w:r>
        <w:rPr>
          <w:rFonts w:hint="eastAsia"/>
        </w:rPr>
        <w:t>附件4:</w:t>
      </w:r>
      <w:bookmarkEnd w:id="265"/>
      <w:bookmarkEnd w:id="266"/>
      <w:bookmarkEnd w:id="267"/>
    </w:p>
    <w:p>
      <w:pPr>
        <w:pStyle w:val="11"/>
        <w:ind w:firstLine="0" w:firstLineChars="0"/>
        <w:jc w:val="center"/>
        <w:rPr>
          <w:sz w:val="24"/>
        </w:rPr>
      </w:pPr>
      <w:bookmarkStart w:id="268" w:name="_Toc18332"/>
      <w:bookmarkStart w:id="269" w:name="_Toc2878"/>
      <w:bookmarkStart w:id="270" w:name="_Toc17643"/>
      <w:r>
        <w:rPr>
          <w:rFonts w:hint="eastAsia"/>
          <w:sz w:val="24"/>
        </w:rPr>
        <w:t>关于对××××压覆重要矿床（矿产资源）的初审意见</w:t>
      </w:r>
      <w:bookmarkEnd w:id="268"/>
      <w:bookmarkEnd w:id="269"/>
      <w:bookmarkEnd w:id="270"/>
    </w:p>
    <w:p>
      <w:pPr>
        <w:ind w:firstLine="420"/>
      </w:pPr>
    </w:p>
    <w:p>
      <w:pPr>
        <w:pStyle w:val="11"/>
        <w:ind w:firstLine="420"/>
        <w:outlineLvl w:val="9"/>
      </w:pPr>
      <w:bookmarkStart w:id="271" w:name="_Toc27678"/>
      <w:bookmarkStart w:id="272" w:name="_Toc2602"/>
      <w:bookmarkStart w:id="273" w:name="_Toc28273"/>
      <w:bookmarkStart w:id="274" w:name="_Toc26827"/>
      <w:bookmarkStart w:id="275" w:name="_Toc7589"/>
      <w:bookmarkStart w:id="276" w:name="_Toc208"/>
      <w:bookmarkStart w:id="277" w:name="_Toc29821"/>
      <w:r>
        <w:rPr>
          <w:rFonts w:hint="eastAsia"/>
        </w:rPr>
        <w:t>一、基本情况</w:t>
      </w:r>
      <w:bookmarkEnd w:id="271"/>
      <w:bookmarkEnd w:id="272"/>
      <w:bookmarkEnd w:id="273"/>
      <w:bookmarkEnd w:id="274"/>
      <w:bookmarkEnd w:id="275"/>
      <w:bookmarkEnd w:id="276"/>
      <w:bookmarkEnd w:id="277"/>
    </w:p>
    <w:p>
      <w:pPr>
        <w:ind w:firstLine="420"/>
      </w:pPr>
      <w:r>
        <w:rPr>
          <w:rFonts w:hint="eastAsia"/>
        </w:rPr>
        <w:t>（一）建设项目概况：简要说明建设项目由来、主管单位、建设单位，设计单位、批准（核准、备案）机关及文号，拟建地点，拟用地范围、面积、坐标、标高，拟投资规模。</w:t>
      </w:r>
    </w:p>
    <w:p>
      <w:pPr>
        <w:ind w:firstLine="420"/>
      </w:pPr>
      <w:r>
        <w:rPr>
          <w:rFonts w:hint="eastAsia"/>
        </w:rPr>
        <w:t>（二）建设项目压覆区内矿产资源、探矿权与采矿权设置及协议签订情况，按矿区（产地）说明矿产资源分布情况。</w:t>
      </w:r>
    </w:p>
    <w:p>
      <w:pPr>
        <w:pStyle w:val="11"/>
        <w:ind w:firstLine="420"/>
        <w:outlineLvl w:val="9"/>
      </w:pPr>
      <w:bookmarkStart w:id="278" w:name="_Toc22978"/>
      <w:bookmarkStart w:id="279" w:name="_Toc28278"/>
      <w:bookmarkStart w:id="280" w:name="_Toc14891"/>
      <w:bookmarkStart w:id="281" w:name="_Toc3989"/>
      <w:bookmarkStart w:id="282" w:name="_Toc9812"/>
      <w:bookmarkStart w:id="283" w:name="_Toc14778"/>
      <w:bookmarkStart w:id="284" w:name="_Toc23228"/>
      <w:r>
        <w:rPr>
          <w:rFonts w:hint="eastAsia"/>
        </w:rPr>
        <w:t>二、建设项目选址及设计方案科学合理性审查意见</w:t>
      </w:r>
      <w:bookmarkEnd w:id="278"/>
      <w:bookmarkEnd w:id="279"/>
      <w:bookmarkEnd w:id="280"/>
      <w:bookmarkEnd w:id="281"/>
      <w:bookmarkEnd w:id="282"/>
      <w:bookmarkEnd w:id="283"/>
      <w:bookmarkEnd w:id="284"/>
    </w:p>
    <w:p>
      <w:pPr>
        <w:ind w:firstLine="420"/>
      </w:pPr>
      <w:r>
        <w:rPr>
          <w:rFonts w:hint="eastAsia"/>
        </w:rPr>
        <w:t>建设项目选址及设计方案是否符合实际情况、是否已经尽量避免或少压覆重要矿产资源。</w:t>
      </w:r>
    </w:p>
    <w:p>
      <w:pPr>
        <w:pStyle w:val="11"/>
        <w:ind w:firstLine="420"/>
        <w:outlineLvl w:val="9"/>
      </w:pPr>
      <w:bookmarkStart w:id="285" w:name="_Toc16223"/>
      <w:bookmarkStart w:id="286" w:name="_Toc14312"/>
      <w:bookmarkStart w:id="287" w:name="_Toc10325"/>
      <w:bookmarkStart w:id="288" w:name="_Toc32508"/>
      <w:bookmarkStart w:id="289" w:name="_Toc18391"/>
      <w:bookmarkStart w:id="290" w:name="_Toc1322"/>
      <w:bookmarkStart w:id="291" w:name="_Toc7561"/>
      <w:r>
        <w:rPr>
          <w:rFonts w:hint="eastAsia"/>
        </w:rPr>
        <w:t>三、压覆资源储量估算</w:t>
      </w:r>
      <w:bookmarkEnd w:id="285"/>
      <w:bookmarkEnd w:id="286"/>
      <w:bookmarkEnd w:id="287"/>
      <w:bookmarkEnd w:id="288"/>
      <w:bookmarkEnd w:id="289"/>
      <w:bookmarkEnd w:id="290"/>
      <w:bookmarkEnd w:id="291"/>
    </w:p>
    <w:p>
      <w:pPr>
        <w:ind w:firstLine="420"/>
      </w:pPr>
      <w:r>
        <w:rPr>
          <w:rFonts w:hint="eastAsia"/>
        </w:rPr>
        <w:t>（一）资源储量估算工业指标、估算方法、范围（建设项目压覆区边界拐点坐标、标高及面积）和参数确定的依据、方法的审查意见。</w:t>
      </w:r>
    </w:p>
    <w:p>
      <w:pPr>
        <w:ind w:firstLine="420"/>
      </w:pPr>
      <w:r>
        <w:rPr>
          <w:rFonts w:hint="eastAsia"/>
        </w:rPr>
        <w:t>（二）资源储量估算结果：按矿体（层）、矿区、矿业权人分列。</w:t>
      </w:r>
    </w:p>
    <w:p>
      <w:pPr>
        <w:ind w:firstLine="420"/>
      </w:pPr>
      <w:r>
        <w:rPr>
          <w:rFonts w:hint="eastAsia"/>
        </w:rPr>
        <w:t>（三）《压覆重要矿产资源评估报告》的评审备案情况。</w:t>
      </w:r>
    </w:p>
    <w:p>
      <w:pPr>
        <w:pStyle w:val="11"/>
        <w:ind w:firstLine="420"/>
        <w:outlineLvl w:val="9"/>
      </w:pPr>
      <w:bookmarkStart w:id="292" w:name="_Toc2919"/>
      <w:bookmarkStart w:id="293" w:name="_Toc30364"/>
      <w:bookmarkStart w:id="294" w:name="_Toc11667"/>
      <w:bookmarkStart w:id="295" w:name="_Toc29026"/>
      <w:bookmarkStart w:id="296" w:name="_Toc7847"/>
      <w:bookmarkStart w:id="297" w:name="_Toc14136"/>
      <w:bookmarkStart w:id="298" w:name="_Toc32356"/>
      <w:r>
        <w:rPr>
          <w:rFonts w:hint="eastAsia"/>
        </w:rPr>
        <w:t>四、结论及建议</w:t>
      </w:r>
      <w:bookmarkEnd w:id="292"/>
      <w:bookmarkEnd w:id="293"/>
      <w:bookmarkEnd w:id="294"/>
      <w:bookmarkEnd w:id="295"/>
      <w:bookmarkEnd w:id="296"/>
      <w:bookmarkEnd w:id="297"/>
      <w:bookmarkEnd w:id="298"/>
    </w:p>
    <w:p>
      <w:pPr>
        <w:ind w:firstLine="420"/>
      </w:pPr>
      <w:r>
        <w:rPr>
          <w:rFonts w:hint="eastAsia"/>
        </w:rPr>
        <w:t>压覆与否的建议，承诺负责协调处理压覆重要矿产资源涉及矿业权人权益的有关事宜等。</w:t>
      </w:r>
    </w:p>
    <w:p>
      <w:pPr>
        <w:ind w:firstLine="420"/>
      </w:pPr>
    </w:p>
    <w:p>
      <w:pPr>
        <w:ind w:firstLine="420"/>
      </w:pPr>
    </w:p>
    <w:sectPr>
      <w:headerReference r:id="rId6" w:type="first"/>
      <w:footerReference r:id="rId9" w:type="first"/>
      <w:footerReference r:id="rId7" w:type="default"/>
      <w:headerReference r:id="rId5" w:type="even"/>
      <w:footerReference r:id="rId8" w:type="even"/>
      <w:pgSz w:w="11849" w:h="16781"/>
      <w:pgMar w:top="873" w:right="1236" w:bottom="873" w:left="1236" w:header="737" w:footer="737" w:gutter="0"/>
      <w:pgNumType w:fmt="decimal"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jc w:val="cente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E62B0F"/>
    <w:multiLevelType w:val="singleLevel"/>
    <w:tmpl w:val="C6E62B0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1B92376E"/>
    <w:rsid w:val="007B2C5B"/>
    <w:rsid w:val="009F39B5"/>
    <w:rsid w:val="00B658AB"/>
    <w:rsid w:val="00C7411D"/>
    <w:rsid w:val="00D00BB1"/>
    <w:rsid w:val="00F67F68"/>
    <w:rsid w:val="07D0120E"/>
    <w:rsid w:val="14F83434"/>
    <w:rsid w:val="18DF2CD1"/>
    <w:rsid w:val="1B92376E"/>
    <w:rsid w:val="206E0A07"/>
    <w:rsid w:val="28E10A56"/>
    <w:rsid w:val="38741F76"/>
    <w:rsid w:val="389E5877"/>
    <w:rsid w:val="3DE405DE"/>
    <w:rsid w:val="3F754104"/>
    <w:rsid w:val="45266AF0"/>
    <w:rsid w:val="4BCF600F"/>
    <w:rsid w:val="4CC63319"/>
    <w:rsid w:val="51B1282E"/>
    <w:rsid w:val="676C4E2D"/>
    <w:rsid w:val="6ED1410A"/>
    <w:rsid w:val="6FD21311"/>
    <w:rsid w:val="7B3D14B1"/>
    <w:rsid w:val="7DDE78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720" w:firstLineChars="200"/>
      <w:jc w:val="both"/>
    </w:pPr>
    <w:rPr>
      <w:rFonts w:eastAsia="仿宋_GB2312" w:asciiTheme="minorHAnsi" w:hAnsiTheme="minorHAnsi" w:cstheme="minorBidi"/>
      <w:kern w:val="2"/>
      <w:sz w:val="21"/>
      <w:szCs w:val="22"/>
      <w:lang w:val="en-US" w:eastAsia="zh-CN" w:bidi="ar-SA"/>
    </w:rPr>
  </w:style>
  <w:style w:type="paragraph" w:styleId="2">
    <w:name w:val="heading 2"/>
    <w:basedOn w:val="3"/>
    <w:next w:val="1"/>
    <w:unhideWhenUsed/>
    <w:qFormat/>
    <w:uiPriority w:val="0"/>
    <w:pPr>
      <w:outlineLvl w:val="1"/>
    </w:pPr>
    <w:rPr>
      <w:rFonts w:ascii="Arial" w:hAnsi="Arial" w:eastAsia="黑体"/>
      <w:b w:val="0"/>
    </w:rPr>
  </w:style>
  <w:style w:type="paragraph" w:styleId="3">
    <w:name w:val="heading 3"/>
    <w:basedOn w:val="1"/>
    <w:next w:val="1"/>
    <w:unhideWhenUsed/>
    <w:qFormat/>
    <w:uiPriority w:val="0"/>
    <w:pPr>
      <w:keepNext/>
      <w:keepLines/>
      <w:spacing w:line="413" w:lineRule="auto"/>
      <w:outlineLvl w:val="2"/>
    </w:pPr>
    <w:rPr>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qFormat/>
    <w:uiPriority w:val="0"/>
    <w:pPr>
      <w:spacing w:line="240" w:lineRule="auto"/>
    </w:pPr>
    <w:rPr>
      <w:sz w:val="18"/>
      <w:szCs w:val="18"/>
    </w:rPr>
  </w:style>
  <w:style w:type="paragraph" w:styleId="5">
    <w:name w:val="footer"/>
    <w:basedOn w:val="1"/>
    <w:qFormat/>
    <w:uiPriority w:val="0"/>
    <w:pPr>
      <w:tabs>
        <w:tab w:val="center" w:pos="4153"/>
        <w:tab w:val="right" w:pos="8306"/>
      </w:tabs>
      <w:jc w:val="left"/>
    </w:pPr>
    <w:rPr>
      <w:sz w:val="18"/>
    </w:rPr>
  </w:style>
  <w:style w:type="paragraph" w:styleId="6">
    <w:name w:val="header"/>
    <w:basedOn w:val="1"/>
    <w:link w:val="15"/>
    <w:qFormat/>
    <w:uiPriority w:val="0"/>
    <w:pPr>
      <w:pBdr>
        <w:bottom w:val="single" w:color="auto" w:sz="6" w:space="1"/>
      </w:pBdr>
      <w:tabs>
        <w:tab w:val="center" w:pos="4153"/>
        <w:tab w:val="right" w:pos="8306"/>
      </w:tabs>
      <w:spacing w:line="240" w:lineRule="auto"/>
      <w:jc w:val="center"/>
    </w:pPr>
    <w:rPr>
      <w:sz w:val="18"/>
      <w:szCs w:val="18"/>
    </w:rPr>
  </w:style>
  <w:style w:type="character" w:styleId="9">
    <w:name w:val="page number"/>
    <w:basedOn w:val="8"/>
    <w:qFormat/>
    <w:uiPriority w:val="0"/>
  </w:style>
  <w:style w:type="paragraph" w:customStyle="1" w:styleId="10">
    <w:name w:val="文件标题"/>
    <w:basedOn w:val="2"/>
    <w:qFormat/>
    <w:uiPriority w:val="0"/>
    <w:pPr>
      <w:spacing w:line="360" w:lineRule="auto"/>
      <w:ind w:firstLine="0" w:firstLineChars="0"/>
      <w:jc w:val="center"/>
    </w:pPr>
    <w:rPr>
      <w:sz w:val="24"/>
    </w:rPr>
  </w:style>
  <w:style w:type="paragraph" w:customStyle="1" w:styleId="11">
    <w:name w:val="一级标题"/>
    <w:basedOn w:val="2"/>
    <w:qFormat/>
    <w:uiPriority w:val="0"/>
    <w:pPr>
      <w:keepNext w:val="0"/>
      <w:spacing w:line="360" w:lineRule="auto"/>
      <w:ind w:firstLine="480"/>
    </w:pPr>
    <w:rPr>
      <w:sz w:val="21"/>
    </w:rPr>
  </w:style>
  <w:style w:type="character" w:customStyle="1" w:styleId="12">
    <w:name w:val="二级标题{858D7CFB-ED40-4347-BF05-701D383B685F}"/>
    <w:link w:val="13"/>
    <w:qFormat/>
    <w:uiPriority w:val="0"/>
    <w:rPr>
      <w:rFonts w:ascii="Times New Roman" w:hAnsi="Times New Roman" w:eastAsia="楷体_GB2312"/>
      <w:sz w:val="21"/>
    </w:rPr>
  </w:style>
  <w:style w:type="paragraph" w:customStyle="1" w:styleId="13">
    <w:name w:val="二级标题"/>
    <w:basedOn w:val="3"/>
    <w:link w:val="12"/>
    <w:qFormat/>
    <w:uiPriority w:val="0"/>
    <w:pPr>
      <w:spacing w:line="360" w:lineRule="auto"/>
    </w:pPr>
    <w:rPr>
      <w:rFonts w:ascii="Times New Roman" w:hAnsi="Times New Roman" w:eastAsia="楷体_GB2312"/>
      <w:b w:val="0"/>
      <w:sz w:val="21"/>
    </w:rPr>
  </w:style>
  <w:style w:type="paragraph" w:customStyle="1" w:styleId="14">
    <w:name w:val="表格文字"/>
    <w:basedOn w:val="1"/>
    <w:qFormat/>
    <w:uiPriority w:val="0"/>
    <w:pPr>
      <w:spacing w:line="240" w:lineRule="auto"/>
      <w:ind w:firstLine="0" w:firstLineChars="0"/>
    </w:pPr>
    <w:rPr>
      <w:sz w:val="18"/>
    </w:rPr>
  </w:style>
  <w:style w:type="character" w:customStyle="1" w:styleId="15">
    <w:name w:val="页眉 Char"/>
    <w:basedOn w:val="8"/>
    <w:link w:val="6"/>
    <w:qFormat/>
    <w:uiPriority w:val="0"/>
    <w:rPr>
      <w:rFonts w:eastAsia="仿宋_GB2312"/>
      <w:kern w:val="2"/>
      <w:sz w:val="18"/>
      <w:szCs w:val="18"/>
    </w:rPr>
  </w:style>
  <w:style w:type="character" w:customStyle="1" w:styleId="16">
    <w:name w:val="批注框文本 Char"/>
    <w:basedOn w:val="8"/>
    <w:link w:val="4"/>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954</Words>
  <Characters>5441</Characters>
  <Lines>45</Lines>
  <Paragraphs>12</Paragraphs>
  <TotalTime>18</TotalTime>
  <ScaleCrop>false</ScaleCrop>
  <LinksUpToDate>false</LinksUpToDate>
  <CharactersWithSpaces>6383</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2020-08-18T00:27:00Z</dcterms:created>
  <dc:creator>王天元</dc:creator>
  <cp:lastModifiedBy>张晨朔（矿保司）:起草</cp:lastModifiedBy>
  <dcterms:modified xsi:type="dcterms:W3CDTF">2023-06-28T07:33:21Z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B8295D485C86432B9AEC3C47A3C7B6CA</vt:lpwstr>
  </property>
</Properties>
</file>